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626" w:rsidRPr="002A2626" w:rsidRDefault="002A2626" w:rsidP="002A2626">
      <w:pPr>
        <w:pStyle w:val="Ttulo1"/>
        <w:rPr>
          <w:snapToGrid w:val="0"/>
          <w:lang w:val="es-MX"/>
        </w:rPr>
      </w:pPr>
      <w:r w:rsidRPr="002A2626">
        <w:rPr>
          <w:snapToGrid w:val="0"/>
          <w:lang w:val="es-MX"/>
        </w:rPr>
        <w:t>2. INFORME ECONÓMICO-FINANCIERO.</w:t>
      </w:r>
    </w:p>
    <w:p w:rsidR="002A2626" w:rsidRPr="002A2626" w:rsidRDefault="002A2626" w:rsidP="002A2626">
      <w:pPr>
        <w:rPr>
          <w:rFonts w:cs="Arial"/>
          <w:sz w:val="24"/>
          <w:szCs w:val="24"/>
        </w:rPr>
      </w:pPr>
    </w:p>
    <w:p w:rsidR="002A2626" w:rsidRPr="002A2626" w:rsidRDefault="002A2626" w:rsidP="002A2626">
      <w:pPr>
        <w:pStyle w:val="Ttulo2"/>
      </w:pPr>
    </w:p>
    <w:p w:rsidR="002A2626" w:rsidRPr="002A2626" w:rsidRDefault="002A2626" w:rsidP="002A2626">
      <w:pPr>
        <w:pStyle w:val="Ttulo2"/>
        <w:rPr>
          <w:u w:val="single"/>
        </w:rPr>
      </w:pPr>
      <w:r w:rsidRPr="002A2626">
        <w:rPr>
          <w:u w:val="single"/>
        </w:rPr>
        <w:t>2.1 PRESUPUESTO DE INGRESOS</w:t>
      </w:r>
    </w:p>
    <w:p w:rsidR="002A2626" w:rsidRPr="002A2626" w:rsidRDefault="002A2626" w:rsidP="002A2626">
      <w:pPr>
        <w:rPr>
          <w:rFonts w:cs="Arial"/>
          <w:sz w:val="24"/>
          <w:szCs w:val="24"/>
        </w:rPr>
      </w:pPr>
    </w:p>
    <w:p w:rsidR="002A2626" w:rsidRPr="002A2626" w:rsidRDefault="002A2626" w:rsidP="002A2626">
      <w:pPr>
        <w:spacing w:before="120" w:after="120" w:line="300" w:lineRule="auto"/>
        <w:ind w:firstLine="709"/>
        <w:rPr>
          <w:rFonts w:cs="Arial"/>
          <w:sz w:val="24"/>
          <w:szCs w:val="24"/>
        </w:rPr>
      </w:pPr>
      <w:r w:rsidRPr="002A2626">
        <w:rPr>
          <w:rFonts w:cs="Arial"/>
          <w:sz w:val="24"/>
          <w:szCs w:val="24"/>
        </w:rPr>
        <w:t xml:space="preserve">El Presupuesto de Ingresos para el ejercicio 2019 asciende a </w:t>
      </w:r>
      <w:r w:rsidRPr="002A2626">
        <w:rPr>
          <w:rFonts w:cs="Arial"/>
          <w:b/>
          <w:bCs/>
          <w:sz w:val="24"/>
          <w:szCs w:val="24"/>
        </w:rPr>
        <w:t>19.256.379,94</w:t>
      </w:r>
      <w:r w:rsidRPr="002A2626">
        <w:rPr>
          <w:rFonts w:cs="Arial"/>
          <w:b/>
          <w:sz w:val="24"/>
          <w:szCs w:val="24"/>
        </w:rPr>
        <w:t>euros</w:t>
      </w:r>
      <w:r w:rsidRPr="002A2626">
        <w:rPr>
          <w:rFonts w:cs="Arial"/>
          <w:sz w:val="24"/>
          <w:szCs w:val="24"/>
        </w:rPr>
        <w:t>. Por las características de este Consorcio, la estimación de los distintos capítulos se ha presupuestado teniendo en cuenta lo siguiente</w:t>
      </w:r>
      <w:r w:rsidRPr="002A2626">
        <w:rPr>
          <w:rFonts w:cs="Arial"/>
          <w:bCs/>
          <w:sz w:val="24"/>
          <w:szCs w:val="24"/>
        </w:rPr>
        <w:t>:</w:t>
      </w:r>
    </w:p>
    <w:p w:rsidR="002A2626" w:rsidRPr="002A2626" w:rsidRDefault="002A2626" w:rsidP="002A2626">
      <w:pPr>
        <w:spacing w:before="120" w:line="300" w:lineRule="auto"/>
        <w:ind w:left="851" w:hanging="131"/>
        <w:rPr>
          <w:rFonts w:cs="Arial"/>
          <w:bCs/>
          <w:sz w:val="24"/>
          <w:szCs w:val="24"/>
        </w:rPr>
      </w:pPr>
      <w:r w:rsidRPr="002A2626">
        <w:rPr>
          <w:rFonts w:cs="Arial"/>
          <w:bCs/>
          <w:sz w:val="24"/>
          <w:szCs w:val="24"/>
        </w:rPr>
        <w:t xml:space="preserve">- Las aportaciones de los miembros del Consorcio teniendo en cuenta el total del Presupuesto de gastos del 2019. </w:t>
      </w:r>
    </w:p>
    <w:p w:rsidR="002A2626" w:rsidRPr="002A2626" w:rsidRDefault="002A2626" w:rsidP="002A2626">
      <w:pPr>
        <w:spacing w:before="120" w:line="300" w:lineRule="auto"/>
        <w:ind w:left="720"/>
        <w:rPr>
          <w:rFonts w:cs="Arial"/>
          <w:bCs/>
          <w:sz w:val="24"/>
          <w:szCs w:val="24"/>
        </w:rPr>
      </w:pPr>
      <w:r w:rsidRPr="002A2626">
        <w:rPr>
          <w:rFonts w:cs="Arial"/>
          <w:bCs/>
          <w:sz w:val="24"/>
          <w:szCs w:val="24"/>
        </w:rPr>
        <w:t xml:space="preserve">- El comportamiento y evolución de los ingresos en el </w:t>
      </w:r>
      <w:proofErr w:type="spellStart"/>
      <w:r w:rsidRPr="002A2626">
        <w:rPr>
          <w:rFonts w:cs="Arial"/>
          <w:bCs/>
          <w:sz w:val="24"/>
          <w:szCs w:val="24"/>
        </w:rPr>
        <w:t>ejercicioanterior</w:t>
      </w:r>
      <w:proofErr w:type="spellEnd"/>
      <w:r w:rsidRPr="002A2626">
        <w:rPr>
          <w:rFonts w:cs="Arial"/>
          <w:bCs/>
          <w:sz w:val="24"/>
          <w:szCs w:val="24"/>
        </w:rPr>
        <w:t>.</w:t>
      </w:r>
    </w:p>
    <w:p w:rsidR="002A2626" w:rsidRPr="002A2626" w:rsidRDefault="002A2626" w:rsidP="002A2626">
      <w:pPr>
        <w:spacing w:before="120" w:line="300" w:lineRule="auto"/>
        <w:ind w:left="851" w:hanging="131"/>
        <w:rPr>
          <w:rFonts w:cs="Arial"/>
          <w:bCs/>
          <w:sz w:val="24"/>
          <w:szCs w:val="24"/>
        </w:rPr>
      </w:pPr>
      <w:r w:rsidRPr="002A2626">
        <w:rPr>
          <w:rFonts w:cs="Arial"/>
          <w:bCs/>
          <w:sz w:val="24"/>
          <w:szCs w:val="24"/>
        </w:rPr>
        <w:t>- El análisis de los factores que inciden en su variación, principalmente el Euribor, en lo que se refiere a los intereses de las cuentas bancarias.</w:t>
      </w:r>
    </w:p>
    <w:p w:rsidR="002A2626" w:rsidRPr="002A2626" w:rsidRDefault="002A2626" w:rsidP="002A2626">
      <w:pPr>
        <w:spacing w:before="120" w:line="300" w:lineRule="auto"/>
        <w:ind w:left="851" w:hanging="131"/>
        <w:rPr>
          <w:rFonts w:cs="Arial"/>
          <w:bCs/>
          <w:sz w:val="24"/>
          <w:szCs w:val="24"/>
        </w:rPr>
      </w:pPr>
      <w:r w:rsidRPr="002A2626">
        <w:rPr>
          <w:rFonts w:cs="Arial"/>
          <w:bCs/>
          <w:sz w:val="24"/>
          <w:szCs w:val="24"/>
        </w:rPr>
        <w:t>- El convenio que tiene este Consorcio con UNESPA (Gestora de Concierto de contribuciones especiales).</w:t>
      </w:r>
    </w:p>
    <w:p w:rsidR="002A2626" w:rsidRPr="002A2626" w:rsidRDefault="002A2626" w:rsidP="002A2626">
      <w:pPr>
        <w:spacing w:before="120" w:line="300" w:lineRule="auto"/>
        <w:ind w:left="851" w:hanging="131"/>
        <w:rPr>
          <w:rFonts w:cs="Arial"/>
          <w:bCs/>
          <w:sz w:val="24"/>
          <w:szCs w:val="24"/>
        </w:rPr>
      </w:pPr>
      <w:r w:rsidRPr="002A2626">
        <w:rPr>
          <w:rFonts w:cs="Arial"/>
          <w:bCs/>
          <w:sz w:val="24"/>
          <w:szCs w:val="24"/>
        </w:rPr>
        <w:t>- La evolución del cobro de tasas de los servicios realizados y de los precios públicos por retenes.</w:t>
      </w:r>
    </w:p>
    <w:p w:rsidR="002A2626" w:rsidRPr="002A2626" w:rsidRDefault="002A2626" w:rsidP="002A2626">
      <w:pPr>
        <w:spacing w:before="120" w:line="300" w:lineRule="auto"/>
        <w:ind w:left="851" w:hanging="131"/>
        <w:rPr>
          <w:rFonts w:cs="Arial"/>
          <w:bCs/>
          <w:sz w:val="24"/>
          <w:szCs w:val="24"/>
        </w:rPr>
      </w:pPr>
      <w:r w:rsidRPr="002A2626">
        <w:rPr>
          <w:rFonts w:cs="Arial"/>
          <w:bCs/>
          <w:sz w:val="24"/>
          <w:szCs w:val="24"/>
        </w:rPr>
        <w:t>- Aportaciones extraordinarias de capital del Excmo. Cabildo Insular de Tenerife.</w:t>
      </w:r>
    </w:p>
    <w:p w:rsidR="002A2626" w:rsidRPr="002A2626" w:rsidRDefault="002A2626" w:rsidP="002A2626">
      <w:pPr>
        <w:spacing w:before="120" w:line="300" w:lineRule="auto"/>
        <w:ind w:left="851" w:hanging="131"/>
        <w:rPr>
          <w:rFonts w:cs="Arial"/>
          <w:bCs/>
          <w:sz w:val="24"/>
          <w:szCs w:val="24"/>
        </w:rPr>
      </w:pPr>
    </w:p>
    <w:p w:rsidR="002A2626" w:rsidRPr="002A2626" w:rsidRDefault="002A2626" w:rsidP="002A2626">
      <w:pPr>
        <w:spacing w:before="120" w:line="300" w:lineRule="auto"/>
        <w:ind w:firstLine="709"/>
        <w:rPr>
          <w:rFonts w:cs="Arial"/>
          <w:bCs/>
          <w:sz w:val="24"/>
          <w:szCs w:val="24"/>
        </w:rPr>
      </w:pPr>
      <w:r w:rsidRPr="002A2626">
        <w:rPr>
          <w:rFonts w:cs="Arial"/>
          <w:bCs/>
          <w:sz w:val="24"/>
          <w:szCs w:val="24"/>
        </w:rPr>
        <w:t>Las previsiones de ingresos para el Presupuesto de 2019 son las siguientes:</w:t>
      </w:r>
    </w:p>
    <w:p w:rsidR="002A2626" w:rsidRPr="002A2626" w:rsidRDefault="002A2626" w:rsidP="002A2626">
      <w:pPr>
        <w:spacing w:before="120" w:line="300" w:lineRule="auto"/>
        <w:ind w:firstLine="709"/>
        <w:rPr>
          <w:rFonts w:cs="Arial"/>
          <w:bCs/>
          <w:sz w:val="24"/>
          <w:szCs w:val="24"/>
        </w:rPr>
      </w:pPr>
    </w:p>
    <w:tbl>
      <w:tblPr>
        <w:tblW w:w="8328" w:type="dxa"/>
        <w:jc w:val="center"/>
        <w:tblBorders>
          <w:top w:val="single" w:sz="12" w:space="0" w:color="000000"/>
          <w:bottom w:val="single" w:sz="12" w:space="0" w:color="000000"/>
        </w:tblBorders>
        <w:tblLook w:val="01E0"/>
      </w:tblPr>
      <w:tblGrid>
        <w:gridCol w:w="1176"/>
        <w:gridCol w:w="2353"/>
        <w:gridCol w:w="1751"/>
        <w:gridCol w:w="1751"/>
        <w:gridCol w:w="1297"/>
      </w:tblGrid>
      <w:tr w:rsidR="002A2626" w:rsidRPr="002A2626" w:rsidTr="00853C79">
        <w:trPr>
          <w:trHeight w:val="510"/>
          <w:jc w:val="center"/>
        </w:trPr>
        <w:tc>
          <w:tcPr>
            <w:tcW w:w="1057" w:type="dxa"/>
            <w:tcBorders>
              <w:top w:val="single" w:sz="12" w:space="0" w:color="000000"/>
              <w:bottom w:val="single" w:sz="6" w:space="0" w:color="000000"/>
            </w:tcBorders>
            <w:shd w:val="clear" w:color="auto" w:fill="auto"/>
          </w:tcPr>
          <w:p w:rsidR="002A2626" w:rsidRPr="002A2626" w:rsidRDefault="002A2626" w:rsidP="002A2626">
            <w:pPr>
              <w:spacing w:before="120" w:line="300" w:lineRule="auto"/>
              <w:rPr>
                <w:rFonts w:cs="Arial"/>
                <w:b/>
                <w:bCs/>
                <w:sz w:val="24"/>
                <w:szCs w:val="24"/>
              </w:rPr>
            </w:pPr>
            <w:r w:rsidRPr="002A2626">
              <w:rPr>
                <w:rFonts w:cs="Arial"/>
                <w:b/>
                <w:bCs/>
                <w:sz w:val="24"/>
                <w:szCs w:val="24"/>
              </w:rPr>
              <w:t>Capítulo</w:t>
            </w:r>
          </w:p>
        </w:tc>
        <w:tc>
          <w:tcPr>
            <w:tcW w:w="2961" w:type="dxa"/>
            <w:tcBorders>
              <w:top w:val="single" w:sz="12" w:space="0" w:color="000000"/>
              <w:bottom w:val="single" w:sz="6" w:space="0" w:color="000000"/>
            </w:tcBorders>
            <w:shd w:val="clear" w:color="auto" w:fill="auto"/>
          </w:tcPr>
          <w:p w:rsidR="002A2626" w:rsidRPr="002A2626" w:rsidRDefault="002A2626" w:rsidP="002A2626">
            <w:pPr>
              <w:spacing w:before="120" w:line="300" w:lineRule="auto"/>
              <w:rPr>
                <w:rFonts w:cs="Arial"/>
                <w:b/>
                <w:sz w:val="24"/>
                <w:szCs w:val="24"/>
              </w:rPr>
            </w:pPr>
            <w:r w:rsidRPr="002A2626">
              <w:rPr>
                <w:rFonts w:cs="Arial"/>
                <w:b/>
                <w:sz w:val="24"/>
                <w:szCs w:val="24"/>
              </w:rPr>
              <w:t>Descripción</w:t>
            </w:r>
          </w:p>
        </w:tc>
        <w:tc>
          <w:tcPr>
            <w:tcW w:w="1583" w:type="dxa"/>
            <w:tcBorders>
              <w:top w:val="single" w:sz="12" w:space="0" w:color="000000"/>
              <w:bottom w:val="single" w:sz="6" w:space="0" w:color="000000"/>
            </w:tcBorders>
            <w:shd w:val="clear" w:color="auto" w:fill="auto"/>
          </w:tcPr>
          <w:p w:rsidR="002A2626" w:rsidRPr="002A2626" w:rsidRDefault="002A2626" w:rsidP="002A2626">
            <w:pPr>
              <w:spacing w:before="120" w:line="300" w:lineRule="auto"/>
              <w:rPr>
                <w:rFonts w:cs="Arial"/>
                <w:b/>
                <w:sz w:val="24"/>
                <w:szCs w:val="24"/>
              </w:rPr>
            </w:pPr>
            <w:r w:rsidRPr="002A2626">
              <w:rPr>
                <w:rFonts w:cs="Arial"/>
                <w:b/>
                <w:sz w:val="24"/>
                <w:szCs w:val="24"/>
              </w:rPr>
              <w:t>2019</w:t>
            </w:r>
          </w:p>
        </w:tc>
        <w:tc>
          <w:tcPr>
            <w:tcW w:w="1583" w:type="dxa"/>
            <w:tcBorders>
              <w:top w:val="single" w:sz="12" w:space="0" w:color="000000"/>
              <w:bottom w:val="single" w:sz="6" w:space="0" w:color="000000"/>
            </w:tcBorders>
          </w:tcPr>
          <w:p w:rsidR="002A2626" w:rsidRPr="002A2626" w:rsidRDefault="002A2626" w:rsidP="002A2626">
            <w:pPr>
              <w:spacing w:before="120" w:line="300" w:lineRule="auto"/>
              <w:rPr>
                <w:rFonts w:cs="Arial"/>
                <w:b/>
                <w:sz w:val="24"/>
                <w:szCs w:val="24"/>
              </w:rPr>
            </w:pPr>
            <w:r w:rsidRPr="002A2626">
              <w:rPr>
                <w:rFonts w:cs="Arial"/>
                <w:b/>
                <w:sz w:val="24"/>
                <w:szCs w:val="24"/>
              </w:rPr>
              <w:t>2018</w:t>
            </w:r>
          </w:p>
        </w:tc>
        <w:tc>
          <w:tcPr>
            <w:tcW w:w="1144" w:type="dxa"/>
            <w:tcBorders>
              <w:top w:val="single" w:sz="12" w:space="0" w:color="000000"/>
              <w:bottom w:val="single" w:sz="6" w:space="0" w:color="000000"/>
            </w:tcBorders>
            <w:shd w:val="clear" w:color="auto" w:fill="auto"/>
          </w:tcPr>
          <w:p w:rsidR="002A2626" w:rsidRPr="002A2626" w:rsidRDefault="002A2626" w:rsidP="002A2626">
            <w:pPr>
              <w:spacing w:before="120" w:line="300" w:lineRule="auto"/>
              <w:rPr>
                <w:rFonts w:cs="Arial"/>
                <w:b/>
                <w:sz w:val="24"/>
                <w:szCs w:val="24"/>
              </w:rPr>
            </w:pPr>
            <w:r w:rsidRPr="002A2626">
              <w:rPr>
                <w:rFonts w:cs="Arial"/>
                <w:b/>
                <w:sz w:val="24"/>
                <w:szCs w:val="24"/>
              </w:rPr>
              <w:t>Variación</w:t>
            </w:r>
          </w:p>
        </w:tc>
      </w:tr>
      <w:tr w:rsidR="002A2626" w:rsidRPr="002A2626" w:rsidTr="00853C79">
        <w:trPr>
          <w:trHeight w:val="510"/>
          <w:jc w:val="center"/>
        </w:trPr>
        <w:tc>
          <w:tcPr>
            <w:tcW w:w="1057" w:type="dxa"/>
            <w:shd w:val="solid" w:color="C0C0C0" w:fill="FFFFFF"/>
          </w:tcPr>
          <w:p w:rsidR="002A2626" w:rsidRPr="002A2626" w:rsidRDefault="002A2626" w:rsidP="002A2626">
            <w:pPr>
              <w:spacing w:before="120" w:line="300" w:lineRule="auto"/>
              <w:ind w:left="142"/>
              <w:rPr>
                <w:rFonts w:cs="Arial"/>
                <w:b/>
                <w:bCs/>
                <w:sz w:val="24"/>
                <w:szCs w:val="24"/>
              </w:rPr>
            </w:pPr>
            <w:r w:rsidRPr="002A2626">
              <w:rPr>
                <w:rFonts w:cs="Arial"/>
                <w:b/>
                <w:bCs/>
                <w:sz w:val="24"/>
                <w:szCs w:val="24"/>
              </w:rPr>
              <w:t>III</w:t>
            </w:r>
          </w:p>
        </w:tc>
        <w:tc>
          <w:tcPr>
            <w:tcW w:w="2961" w:type="dxa"/>
          </w:tcPr>
          <w:p w:rsidR="002A2626" w:rsidRPr="002A2626" w:rsidRDefault="002A2626" w:rsidP="002A2626">
            <w:pPr>
              <w:spacing w:before="120" w:line="300" w:lineRule="auto"/>
              <w:rPr>
                <w:rFonts w:cs="Arial"/>
                <w:sz w:val="24"/>
                <w:szCs w:val="24"/>
              </w:rPr>
            </w:pPr>
            <w:r w:rsidRPr="002A2626">
              <w:rPr>
                <w:rFonts w:cs="Arial"/>
                <w:sz w:val="24"/>
                <w:szCs w:val="24"/>
              </w:rPr>
              <w:t>Tasas y otros ingresos</w:t>
            </w:r>
          </w:p>
        </w:tc>
        <w:tc>
          <w:tcPr>
            <w:tcW w:w="1583" w:type="dxa"/>
            <w:vAlign w:val="center"/>
          </w:tcPr>
          <w:p w:rsidR="002A2626" w:rsidRPr="002A2626" w:rsidRDefault="002A2626" w:rsidP="002A2626">
            <w:pPr>
              <w:rPr>
                <w:rFonts w:cs="Arial"/>
                <w:sz w:val="24"/>
                <w:szCs w:val="24"/>
              </w:rPr>
            </w:pPr>
            <w:r w:rsidRPr="002A2626">
              <w:rPr>
                <w:rFonts w:cs="Arial"/>
                <w:sz w:val="24"/>
                <w:szCs w:val="24"/>
              </w:rPr>
              <w:t>2.390.000,00</w:t>
            </w:r>
          </w:p>
        </w:tc>
        <w:tc>
          <w:tcPr>
            <w:tcW w:w="1583" w:type="dxa"/>
            <w:vAlign w:val="center"/>
          </w:tcPr>
          <w:p w:rsidR="002A2626" w:rsidRPr="002A2626" w:rsidRDefault="002A2626" w:rsidP="002A2626">
            <w:pPr>
              <w:rPr>
                <w:rFonts w:cs="Arial"/>
                <w:sz w:val="24"/>
                <w:szCs w:val="24"/>
              </w:rPr>
            </w:pPr>
            <w:r w:rsidRPr="002A2626">
              <w:rPr>
                <w:rFonts w:cs="Arial"/>
                <w:sz w:val="24"/>
                <w:szCs w:val="24"/>
              </w:rPr>
              <w:t>2.300.000,00</w:t>
            </w:r>
          </w:p>
        </w:tc>
        <w:tc>
          <w:tcPr>
            <w:tcW w:w="1144" w:type="dxa"/>
            <w:vAlign w:val="center"/>
          </w:tcPr>
          <w:p w:rsidR="002A2626" w:rsidRPr="002A2626" w:rsidRDefault="002A2626" w:rsidP="002A2626">
            <w:pPr>
              <w:rPr>
                <w:rFonts w:cs="Arial"/>
                <w:sz w:val="24"/>
                <w:szCs w:val="24"/>
              </w:rPr>
            </w:pPr>
            <w:r w:rsidRPr="002A2626">
              <w:rPr>
                <w:rFonts w:cs="Arial"/>
                <w:sz w:val="24"/>
                <w:szCs w:val="24"/>
              </w:rPr>
              <w:t>3,91%</w:t>
            </w:r>
          </w:p>
        </w:tc>
      </w:tr>
      <w:tr w:rsidR="002A2626" w:rsidRPr="002A2626" w:rsidTr="00853C79">
        <w:trPr>
          <w:trHeight w:val="510"/>
          <w:jc w:val="center"/>
        </w:trPr>
        <w:tc>
          <w:tcPr>
            <w:tcW w:w="1057" w:type="dxa"/>
            <w:shd w:val="solid" w:color="C0C0C0" w:fill="FFFFFF"/>
          </w:tcPr>
          <w:p w:rsidR="002A2626" w:rsidRPr="002A2626" w:rsidRDefault="002A2626" w:rsidP="002A2626">
            <w:pPr>
              <w:spacing w:before="120" w:line="300" w:lineRule="auto"/>
              <w:ind w:left="142"/>
              <w:rPr>
                <w:rFonts w:cs="Arial"/>
                <w:b/>
                <w:bCs/>
                <w:sz w:val="24"/>
                <w:szCs w:val="24"/>
              </w:rPr>
            </w:pPr>
            <w:r w:rsidRPr="002A2626">
              <w:rPr>
                <w:rFonts w:cs="Arial"/>
                <w:b/>
                <w:bCs/>
                <w:sz w:val="24"/>
                <w:szCs w:val="24"/>
              </w:rPr>
              <w:t>IV</w:t>
            </w:r>
          </w:p>
        </w:tc>
        <w:tc>
          <w:tcPr>
            <w:tcW w:w="2961" w:type="dxa"/>
          </w:tcPr>
          <w:p w:rsidR="002A2626" w:rsidRPr="002A2626" w:rsidRDefault="002A2626" w:rsidP="002A2626">
            <w:pPr>
              <w:spacing w:before="120" w:line="300" w:lineRule="auto"/>
              <w:rPr>
                <w:rFonts w:cs="Arial"/>
                <w:sz w:val="24"/>
                <w:szCs w:val="24"/>
              </w:rPr>
            </w:pPr>
            <w:r w:rsidRPr="002A2626">
              <w:rPr>
                <w:rFonts w:cs="Arial"/>
                <w:sz w:val="24"/>
                <w:szCs w:val="24"/>
              </w:rPr>
              <w:t>Transferencias corrientes</w:t>
            </w:r>
          </w:p>
        </w:tc>
        <w:tc>
          <w:tcPr>
            <w:tcW w:w="1583" w:type="dxa"/>
            <w:vAlign w:val="center"/>
          </w:tcPr>
          <w:p w:rsidR="002A2626" w:rsidRPr="002A2626" w:rsidRDefault="002A2626" w:rsidP="002A2626">
            <w:pPr>
              <w:rPr>
                <w:rFonts w:cs="Arial"/>
                <w:sz w:val="24"/>
                <w:szCs w:val="24"/>
              </w:rPr>
            </w:pPr>
            <w:r w:rsidRPr="002A2626">
              <w:rPr>
                <w:rFonts w:cs="Arial"/>
                <w:sz w:val="24"/>
                <w:szCs w:val="24"/>
              </w:rPr>
              <w:t>15.825.437,38</w:t>
            </w:r>
          </w:p>
        </w:tc>
        <w:tc>
          <w:tcPr>
            <w:tcW w:w="1583" w:type="dxa"/>
            <w:vAlign w:val="center"/>
          </w:tcPr>
          <w:p w:rsidR="002A2626" w:rsidRPr="002A2626" w:rsidRDefault="002A2626" w:rsidP="002A2626">
            <w:pPr>
              <w:rPr>
                <w:rFonts w:cs="Arial"/>
                <w:sz w:val="24"/>
                <w:szCs w:val="24"/>
              </w:rPr>
            </w:pPr>
            <w:r w:rsidRPr="002A2626">
              <w:rPr>
                <w:rFonts w:cs="Arial"/>
                <w:sz w:val="24"/>
                <w:szCs w:val="24"/>
              </w:rPr>
              <w:t>15.781.229,18</w:t>
            </w:r>
          </w:p>
        </w:tc>
        <w:tc>
          <w:tcPr>
            <w:tcW w:w="1144" w:type="dxa"/>
            <w:vAlign w:val="center"/>
          </w:tcPr>
          <w:p w:rsidR="002A2626" w:rsidRPr="002A2626" w:rsidRDefault="002A2626" w:rsidP="002A2626">
            <w:pPr>
              <w:rPr>
                <w:rFonts w:cs="Arial"/>
                <w:sz w:val="24"/>
                <w:szCs w:val="24"/>
              </w:rPr>
            </w:pPr>
            <w:r w:rsidRPr="002A2626">
              <w:rPr>
                <w:rFonts w:cs="Arial"/>
                <w:sz w:val="24"/>
                <w:szCs w:val="24"/>
              </w:rPr>
              <w:t>0,28%</w:t>
            </w:r>
          </w:p>
        </w:tc>
      </w:tr>
      <w:tr w:rsidR="002A2626" w:rsidRPr="002A2626" w:rsidTr="00853C79">
        <w:trPr>
          <w:trHeight w:val="510"/>
          <w:jc w:val="center"/>
        </w:trPr>
        <w:tc>
          <w:tcPr>
            <w:tcW w:w="1057" w:type="dxa"/>
            <w:shd w:val="solid" w:color="C0C0C0" w:fill="FFFFFF"/>
          </w:tcPr>
          <w:p w:rsidR="002A2626" w:rsidRPr="002A2626" w:rsidRDefault="002A2626" w:rsidP="002A2626">
            <w:pPr>
              <w:spacing w:before="120" w:line="300" w:lineRule="auto"/>
              <w:ind w:left="142"/>
              <w:rPr>
                <w:rFonts w:cs="Arial"/>
                <w:b/>
                <w:bCs/>
                <w:sz w:val="24"/>
                <w:szCs w:val="24"/>
              </w:rPr>
            </w:pPr>
            <w:r w:rsidRPr="002A2626">
              <w:rPr>
                <w:rFonts w:cs="Arial"/>
                <w:b/>
                <w:bCs/>
                <w:sz w:val="24"/>
                <w:szCs w:val="24"/>
              </w:rPr>
              <w:lastRenderedPageBreak/>
              <w:t>V</w:t>
            </w:r>
          </w:p>
        </w:tc>
        <w:tc>
          <w:tcPr>
            <w:tcW w:w="2961" w:type="dxa"/>
          </w:tcPr>
          <w:p w:rsidR="002A2626" w:rsidRPr="002A2626" w:rsidRDefault="002A2626" w:rsidP="002A2626">
            <w:pPr>
              <w:spacing w:before="120" w:line="300" w:lineRule="auto"/>
              <w:rPr>
                <w:rFonts w:cs="Arial"/>
                <w:sz w:val="24"/>
                <w:szCs w:val="24"/>
              </w:rPr>
            </w:pPr>
            <w:r w:rsidRPr="002A2626">
              <w:rPr>
                <w:rFonts w:cs="Arial"/>
                <w:sz w:val="24"/>
                <w:szCs w:val="24"/>
              </w:rPr>
              <w:t>Ingresos patrimoniales</w:t>
            </w:r>
          </w:p>
        </w:tc>
        <w:tc>
          <w:tcPr>
            <w:tcW w:w="1583" w:type="dxa"/>
            <w:vAlign w:val="center"/>
          </w:tcPr>
          <w:p w:rsidR="002A2626" w:rsidRPr="002A2626" w:rsidRDefault="002A2626" w:rsidP="002A2626">
            <w:pPr>
              <w:rPr>
                <w:rFonts w:cs="Arial"/>
                <w:sz w:val="24"/>
                <w:szCs w:val="24"/>
              </w:rPr>
            </w:pPr>
            <w:r w:rsidRPr="002A2626">
              <w:rPr>
                <w:rFonts w:cs="Arial"/>
                <w:sz w:val="24"/>
                <w:szCs w:val="24"/>
              </w:rPr>
              <w:t>2.500,00</w:t>
            </w:r>
          </w:p>
        </w:tc>
        <w:tc>
          <w:tcPr>
            <w:tcW w:w="1583" w:type="dxa"/>
            <w:vAlign w:val="center"/>
          </w:tcPr>
          <w:p w:rsidR="002A2626" w:rsidRPr="002A2626" w:rsidRDefault="002A2626" w:rsidP="002A2626">
            <w:pPr>
              <w:rPr>
                <w:rFonts w:cs="Arial"/>
                <w:sz w:val="24"/>
                <w:szCs w:val="24"/>
              </w:rPr>
            </w:pPr>
            <w:r w:rsidRPr="002A2626">
              <w:rPr>
                <w:rFonts w:cs="Arial"/>
                <w:sz w:val="24"/>
                <w:szCs w:val="24"/>
              </w:rPr>
              <w:t>2.500,00</w:t>
            </w:r>
          </w:p>
        </w:tc>
        <w:tc>
          <w:tcPr>
            <w:tcW w:w="1144" w:type="dxa"/>
            <w:vAlign w:val="center"/>
          </w:tcPr>
          <w:p w:rsidR="002A2626" w:rsidRPr="002A2626" w:rsidRDefault="002A2626" w:rsidP="002A2626">
            <w:pPr>
              <w:rPr>
                <w:rFonts w:cs="Arial"/>
                <w:sz w:val="24"/>
                <w:szCs w:val="24"/>
              </w:rPr>
            </w:pPr>
            <w:r w:rsidRPr="002A2626">
              <w:rPr>
                <w:rFonts w:cs="Arial"/>
                <w:sz w:val="24"/>
                <w:szCs w:val="24"/>
              </w:rPr>
              <w:t>0,00%</w:t>
            </w:r>
          </w:p>
        </w:tc>
      </w:tr>
      <w:tr w:rsidR="002A2626" w:rsidRPr="002A2626" w:rsidTr="00853C79">
        <w:trPr>
          <w:trHeight w:val="510"/>
          <w:jc w:val="center"/>
        </w:trPr>
        <w:tc>
          <w:tcPr>
            <w:tcW w:w="1057" w:type="dxa"/>
            <w:shd w:val="solid" w:color="C0C0C0" w:fill="FFFFFF"/>
          </w:tcPr>
          <w:p w:rsidR="002A2626" w:rsidRPr="002A2626" w:rsidRDefault="002A2626" w:rsidP="002A2626">
            <w:pPr>
              <w:spacing w:before="120" w:line="300" w:lineRule="auto"/>
              <w:ind w:left="142"/>
              <w:rPr>
                <w:rFonts w:cs="Arial"/>
                <w:b/>
                <w:bCs/>
                <w:sz w:val="24"/>
                <w:szCs w:val="24"/>
              </w:rPr>
            </w:pPr>
            <w:r w:rsidRPr="002A2626">
              <w:rPr>
                <w:rFonts w:cs="Arial"/>
                <w:b/>
                <w:bCs/>
                <w:sz w:val="24"/>
                <w:szCs w:val="24"/>
              </w:rPr>
              <w:t>VII</w:t>
            </w:r>
          </w:p>
        </w:tc>
        <w:tc>
          <w:tcPr>
            <w:tcW w:w="2961" w:type="dxa"/>
          </w:tcPr>
          <w:p w:rsidR="002A2626" w:rsidRPr="002A2626" w:rsidRDefault="002A2626" w:rsidP="002A2626">
            <w:pPr>
              <w:spacing w:before="120" w:line="300" w:lineRule="auto"/>
              <w:rPr>
                <w:rFonts w:cs="Arial"/>
                <w:sz w:val="24"/>
                <w:szCs w:val="24"/>
              </w:rPr>
            </w:pPr>
            <w:r w:rsidRPr="002A2626">
              <w:rPr>
                <w:rFonts w:cs="Arial"/>
                <w:sz w:val="24"/>
                <w:szCs w:val="24"/>
              </w:rPr>
              <w:t>Transferencia capital</w:t>
            </w:r>
          </w:p>
        </w:tc>
        <w:tc>
          <w:tcPr>
            <w:tcW w:w="1583" w:type="dxa"/>
            <w:vAlign w:val="center"/>
          </w:tcPr>
          <w:p w:rsidR="002A2626" w:rsidRPr="002A2626" w:rsidRDefault="002A2626" w:rsidP="002A2626">
            <w:pPr>
              <w:rPr>
                <w:rFonts w:cs="Arial"/>
                <w:sz w:val="24"/>
                <w:szCs w:val="24"/>
              </w:rPr>
            </w:pPr>
            <w:r w:rsidRPr="002A2626">
              <w:rPr>
                <w:rFonts w:cs="Arial"/>
                <w:sz w:val="24"/>
                <w:szCs w:val="24"/>
              </w:rPr>
              <w:t>928.442,56</w:t>
            </w:r>
          </w:p>
        </w:tc>
        <w:tc>
          <w:tcPr>
            <w:tcW w:w="1583" w:type="dxa"/>
            <w:vAlign w:val="center"/>
          </w:tcPr>
          <w:p w:rsidR="002A2626" w:rsidRPr="002A2626" w:rsidRDefault="002A2626" w:rsidP="002A2626">
            <w:pPr>
              <w:rPr>
                <w:rFonts w:cs="Arial"/>
                <w:sz w:val="24"/>
                <w:szCs w:val="24"/>
              </w:rPr>
            </w:pPr>
            <w:r w:rsidRPr="002A2626">
              <w:rPr>
                <w:rFonts w:cs="Arial"/>
                <w:sz w:val="24"/>
                <w:szCs w:val="24"/>
              </w:rPr>
              <w:t>2.650.025,50</w:t>
            </w:r>
          </w:p>
        </w:tc>
        <w:tc>
          <w:tcPr>
            <w:tcW w:w="1144" w:type="dxa"/>
            <w:vAlign w:val="center"/>
          </w:tcPr>
          <w:p w:rsidR="002A2626" w:rsidRPr="002A2626" w:rsidRDefault="002A2626" w:rsidP="002A2626">
            <w:pPr>
              <w:rPr>
                <w:rFonts w:cs="Arial"/>
                <w:sz w:val="24"/>
                <w:szCs w:val="24"/>
              </w:rPr>
            </w:pPr>
            <w:r w:rsidRPr="002A2626">
              <w:rPr>
                <w:rFonts w:cs="Arial"/>
                <w:sz w:val="24"/>
                <w:szCs w:val="24"/>
              </w:rPr>
              <w:t>-64,96%</w:t>
            </w:r>
          </w:p>
        </w:tc>
      </w:tr>
      <w:tr w:rsidR="002A2626" w:rsidRPr="002A2626" w:rsidTr="00853C79">
        <w:trPr>
          <w:trHeight w:val="510"/>
          <w:jc w:val="center"/>
        </w:trPr>
        <w:tc>
          <w:tcPr>
            <w:tcW w:w="1057" w:type="dxa"/>
            <w:shd w:val="solid" w:color="C0C0C0" w:fill="FFFFFF"/>
          </w:tcPr>
          <w:p w:rsidR="002A2626" w:rsidRPr="002A2626" w:rsidRDefault="002A2626" w:rsidP="002A2626">
            <w:pPr>
              <w:spacing w:before="120" w:line="300" w:lineRule="auto"/>
              <w:ind w:left="142"/>
              <w:rPr>
                <w:rFonts w:cs="Arial"/>
                <w:b/>
                <w:bCs/>
                <w:sz w:val="24"/>
                <w:szCs w:val="24"/>
              </w:rPr>
            </w:pPr>
            <w:r w:rsidRPr="002A2626">
              <w:rPr>
                <w:rFonts w:cs="Arial"/>
                <w:b/>
                <w:bCs/>
                <w:sz w:val="24"/>
                <w:szCs w:val="24"/>
              </w:rPr>
              <w:t>VIII</w:t>
            </w:r>
          </w:p>
        </w:tc>
        <w:tc>
          <w:tcPr>
            <w:tcW w:w="2961" w:type="dxa"/>
          </w:tcPr>
          <w:p w:rsidR="002A2626" w:rsidRPr="002A2626" w:rsidRDefault="002A2626" w:rsidP="002A2626">
            <w:pPr>
              <w:spacing w:before="120" w:line="300" w:lineRule="auto"/>
              <w:rPr>
                <w:rFonts w:cs="Arial"/>
                <w:sz w:val="24"/>
                <w:szCs w:val="24"/>
              </w:rPr>
            </w:pPr>
            <w:r w:rsidRPr="002A2626">
              <w:rPr>
                <w:rFonts w:cs="Arial"/>
                <w:sz w:val="24"/>
                <w:szCs w:val="24"/>
              </w:rPr>
              <w:t>Activos financieros</w:t>
            </w:r>
          </w:p>
        </w:tc>
        <w:tc>
          <w:tcPr>
            <w:tcW w:w="1583" w:type="dxa"/>
            <w:vAlign w:val="center"/>
          </w:tcPr>
          <w:p w:rsidR="002A2626" w:rsidRPr="002A2626" w:rsidRDefault="002A2626" w:rsidP="002A2626">
            <w:pPr>
              <w:rPr>
                <w:rFonts w:cs="Arial"/>
                <w:sz w:val="24"/>
                <w:szCs w:val="24"/>
              </w:rPr>
            </w:pPr>
            <w:r w:rsidRPr="002A2626">
              <w:rPr>
                <w:rFonts w:cs="Arial"/>
                <w:sz w:val="24"/>
                <w:szCs w:val="24"/>
              </w:rPr>
              <w:t>110.000,00</w:t>
            </w:r>
          </w:p>
        </w:tc>
        <w:tc>
          <w:tcPr>
            <w:tcW w:w="1583" w:type="dxa"/>
            <w:vAlign w:val="center"/>
          </w:tcPr>
          <w:p w:rsidR="002A2626" w:rsidRPr="002A2626" w:rsidRDefault="002A2626" w:rsidP="002A2626">
            <w:pPr>
              <w:rPr>
                <w:rFonts w:cs="Arial"/>
                <w:sz w:val="24"/>
                <w:szCs w:val="24"/>
              </w:rPr>
            </w:pPr>
            <w:r w:rsidRPr="002A2626">
              <w:rPr>
                <w:rFonts w:cs="Arial"/>
                <w:sz w:val="24"/>
                <w:szCs w:val="24"/>
              </w:rPr>
              <w:t>110.000,00</w:t>
            </w:r>
          </w:p>
        </w:tc>
        <w:tc>
          <w:tcPr>
            <w:tcW w:w="1144" w:type="dxa"/>
            <w:vAlign w:val="center"/>
          </w:tcPr>
          <w:p w:rsidR="002A2626" w:rsidRPr="002A2626" w:rsidRDefault="002A2626" w:rsidP="002A2626">
            <w:pPr>
              <w:rPr>
                <w:rFonts w:cs="Arial"/>
                <w:sz w:val="24"/>
                <w:szCs w:val="24"/>
              </w:rPr>
            </w:pPr>
            <w:r w:rsidRPr="002A2626">
              <w:rPr>
                <w:rFonts w:cs="Arial"/>
                <w:sz w:val="24"/>
                <w:szCs w:val="24"/>
              </w:rPr>
              <w:t>0,00%</w:t>
            </w:r>
          </w:p>
        </w:tc>
      </w:tr>
      <w:tr w:rsidR="002A2626" w:rsidRPr="002A2626" w:rsidTr="00853C79">
        <w:trPr>
          <w:trHeight w:val="510"/>
          <w:jc w:val="center"/>
        </w:trPr>
        <w:tc>
          <w:tcPr>
            <w:tcW w:w="1057" w:type="dxa"/>
            <w:tcBorders>
              <w:top w:val="single" w:sz="6" w:space="0" w:color="000000"/>
              <w:bottom w:val="single" w:sz="12" w:space="0" w:color="000000"/>
            </w:tcBorders>
            <w:shd w:val="solid" w:color="C0C0C0" w:fill="FFFFFF"/>
          </w:tcPr>
          <w:p w:rsidR="002A2626" w:rsidRPr="002A2626" w:rsidRDefault="002A2626" w:rsidP="002A2626">
            <w:pPr>
              <w:spacing w:before="120" w:line="300" w:lineRule="auto"/>
              <w:rPr>
                <w:rFonts w:cs="Arial"/>
                <w:b/>
                <w:bCs/>
                <w:sz w:val="24"/>
                <w:szCs w:val="24"/>
              </w:rPr>
            </w:pPr>
          </w:p>
        </w:tc>
        <w:tc>
          <w:tcPr>
            <w:tcW w:w="2961" w:type="dxa"/>
            <w:tcBorders>
              <w:top w:val="single" w:sz="6" w:space="0" w:color="000000"/>
              <w:bottom w:val="single" w:sz="12" w:space="0" w:color="000000"/>
            </w:tcBorders>
          </w:tcPr>
          <w:p w:rsidR="002A2626" w:rsidRPr="002A2626" w:rsidRDefault="002A2626" w:rsidP="002A2626">
            <w:pPr>
              <w:spacing w:before="120" w:line="300" w:lineRule="auto"/>
              <w:rPr>
                <w:rFonts w:cs="Arial"/>
                <w:b/>
                <w:sz w:val="24"/>
                <w:szCs w:val="24"/>
              </w:rPr>
            </w:pPr>
            <w:r w:rsidRPr="002A2626">
              <w:rPr>
                <w:rFonts w:cs="Arial"/>
                <w:b/>
                <w:sz w:val="24"/>
                <w:szCs w:val="24"/>
              </w:rPr>
              <w:t>TOTAL ESTADO INGRESOS</w:t>
            </w:r>
          </w:p>
        </w:tc>
        <w:tc>
          <w:tcPr>
            <w:tcW w:w="1583" w:type="dxa"/>
            <w:tcBorders>
              <w:top w:val="single" w:sz="6" w:space="0" w:color="000000"/>
              <w:bottom w:val="single" w:sz="12" w:space="0" w:color="000000"/>
            </w:tcBorders>
            <w:vAlign w:val="center"/>
          </w:tcPr>
          <w:p w:rsidR="002A2626" w:rsidRPr="002A2626" w:rsidRDefault="002A2626" w:rsidP="002A2626">
            <w:pPr>
              <w:rPr>
                <w:rFonts w:cs="Arial"/>
                <w:b/>
                <w:bCs/>
                <w:sz w:val="24"/>
                <w:szCs w:val="24"/>
              </w:rPr>
            </w:pPr>
            <w:r w:rsidRPr="002A2626">
              <w:rPr>
                <w:rFonts w:cs="Arial"/>
                <w:b/>
                <w:bCs/>
                <w:sz w:val="24"/>
                <w:szCs w:val="24"/>
              </w:rPr>
              <w:t>19.256.379,94</w:t>
            </w:r>
          </w:p>
        </w:tc>
        <w:tc>
          <w:tcPr>
            <w:tcW w:w="1583" w:type="dxa"/>
            <w:tcBorders>
              <w:top w:val="single" w:sz="6" w:space="0" w:color="000000"/>
              <w:bottom w:val="single" w:sz="12" w:space="0" w:color="000000"/>
            </w:tcBorders>
            <w:vAlign w:val="center"/>
          </w:tcPr>
          <w:p w:rsidR="002A2626" w:rsidRPr="002A2626" w:rsidRDefault="002A2626" w:rsidP="002A2626">
            <w:pPr>
              <w:rPr>
                <w:rFonts w:cs="Arial"/>
                <w:b/>
                <w:bCs/>
                <w:sz w:val="24"/>
                <w:szCs w:val="24"/>
              </w:rPr>
            </w:pPr>
            <w:r w:rsidRPr="002A2626">
              <w:rPr>
                <w:rFonts w:cs="Arial"/>
                <w:b/>
                <w:bCs/>
                <w:sz w:val="24"/>
                <w:szCs w:val="24"/>
              </w:rPr>
              <w:t>20.843.754,67</w:t>
            </w:r>
          </w:p>
        </w:tc>
        <w:tc>
          <w:tcPr>
            <w:tcW w:w="1144" w:type="dxa"/>
            <w:tcBorders>
              <w:top w:val="single" w:sz="6" w:space="0" w:color="000000"/>
              <w:bottom w:val="single" w:sz="12" w:space="0" w:color="000000"/>
            </w:tcBorders>
            <w:vAlign w:val="center"/>
          </w:tcPr>
          <w:p w:rsidR="002A2626" w:rsidRPr="002A2626" w:rsidRDefault="002A2626" w:rsidP="002A2626">
            <w:pPr>
              <w:rPr>
                <w:rFonts w:cs="Arial"/>
                <w:b/>
                <w:bCs/>
                <w:sz w:val="24"/>
                <w:szCs w:val="24"/>
              </w:rPr>
            </w:pPr>
            <w:r w:rsidRPr="002A2626">
              <w:rPr>
                <w:rFonts w:cs="Arial"/>
                <w:b/>
                <w:bCs/>
                <w:sz w:val="24"/>
                <w:szCs w:val="24"/>
              </w:rPr>
              <w:t>-7,62%</w:t>
            </w:r>
          </w:p>
        </w:tc>
      </w:tr>
    </w:tbl>
    <w:p w:rsidR="002A2626" w:rsidRPr="002A2626" w:rsidRDefault="002A2626" w:rsidP="002A2626">
      <w:pPr>
        <w:spacing w:before="120" w:line="300" w:lineRule="auto"/>
        <w:ind w:firstLine="709"/>
        <w:rPr>
          <w:rFonts w:cs="Arial"/>
          <w:bCs/>
          <w:sz w:val="24"/>
          <w:szCs w:val="24"/>
        </w:rPr>
      </w:pPr>
    </w:p>
    <w:p w:rsidR="002A2626" w:rsidRPr="002A2626" w:rsidRDefault="002A2626" w:rsidP="002A2626">
      <w:pPr>
        <w:spacing w:before="120" w:line="300" w:lineRule="auto"/>
        <w:ind w:firstLine="709"/>
        <w:rPr>
          <w:rFonts w:cs="Arial"/>
          <w:bCs/>
          <w:sz w:val="24"/>
          <w:szCs w:val="24"/>
        </w:rPr>
      </w:pPr>
    </w:p>
    <w:p w:rsidR="002A2626" w:rsidRPr="002A2626" w:rsidRDefault="002A2626" w:rsidP="002A2626">
      <w:pPr>
        <w:pStyle w:val="Prrafodelista"/>
        <w:numPr>
          <w:ilvl w:val="0"/>
          <w:numId w:val="7"/>
        </w:numPr>
        <w:autoSpaceDE w:val="0"/>
        <w:autoSpaceDN w:val="0"/>
        <w:spacing w:before="120" w:after="0" w:line="300" w:lineRule="auto"/>
        <w:jc w:val="both"/>
        <w:rPr>
          <w:rFonts w:ascii="Arial" w:hAnsi="Arial" w:cs="Arial"/>
          <w:bCs/>
          <w:sz w:val="24"/>
          <w:szCs w:val="24"/>
        </w:rPr>
      </w:pPr>
      <w:r w:rsidRPr="002A2626">
        <w:rPr>
          <w:rFonts w:ascii="Arial" w:hAnsi="Arial" w:cs="Arial"/>
          <w:b/>
          <w:bCs/>
          <w:sz w:val="24"/>
          <w:szCs w:val="24"/>
        </w:rPr>
        <w:t>Capítulo III</w:t>
      </w:r>
      <w:r w:rsidRPr="002A2626">
        <w:rPr>
          <w:rFonts w:ascii="Arial" w:hAnsi="Arial" w:cs="Arial"/>
          <w:bCs/>
          <w:sz w:val="24"/>
          <w:szCs w:val="24"/>
        </w:rPr>
        <w:t>, Tasas y otros ingresos.</w:t>
      </w:r>
    </w:p>
    <w:p w:rsidR="002A2626" w:rsidRPr="002A2626" w:rsidRDefault="002A2626" w:rsidP="002A2626">
      <w:pPr>
        <w:spacing w:before="120" w:line="300" w:lineRule="auto"/>
        <w:ind w:firstLine="709"/>
        <w:rPr>
          <w:rFonts w:cs="Arial"/>
          <w:bCs/>
          <w:sz w:val="24"/>
          <w:szCs w:val="24"/>
        </w:rPr>
      </w:pPr>
      <w:r w:rsidRPr="002A2626">
        <w:rPr>
          <w:rFonts w:cs="Arial"/>
          <w:bCs/>
          <w:sz w:val="24"/>
          <w:szCs w:val="24"/>
        </w:rPr>
        <w:t xml:space="preserve">La previsión de ingresos en este capítulo está principalmente formada por la cantidad recibida anualmente por la Gestora de conciertos para la contribución a los servicios de extinción de incendios A.I.E. (UNESPA), que se estima en 2.180.000 euros para 2019. </w:t>
      </w:r>
    </w:p>
    <w:p w:rsidR="002A2626" w:rsidRPr="002A2626" w:rsidRDefault="002A2626" w:rsidP="002A2626">
      <w:pPr>
        <w:spacing w:before="120" w:line="300" w:lineRule="auto"/>
        <w:ind w:firstLine="709"/>
        <w:rPr>
          <w:rFonts w:cs="Arial"/>
          <w:bCs/>
          <w:sz w:val="24"/>
          <w:szCs w:val="24"/>
        </w:rPr>
      </w:pPr>
      <w:r w:rsidRPr="002A2626">
        <w:rPr>
          <w:rFonts w:cs="Arial"/>
          <w:bCs/>
          <w:sz w:val="24"/>
          <w:szCs w:val="24"/>
        </w:rPr>
        <w:t xml:space="preserve">En lo que se refiere a las tasas por prestación de servicios, se prevé un aumento con respecto al ejercicio anterior. El importe presupuestado para 2019 asciende a 180.000 euros. </w:t>
      </w:r>
    </w:p>
    <w:p w:rsidR="002A2626" w:rsidRPr="002A2626" w:rsidRDefault="002A2626" w:rsidP="002A2626">
      <w:pPr>
        <w:spacing w:before="120" w:line="300" w:lineRule="auto"/>
        <w:ind w:firstLine="709"/>
        <w:rPr>
          <w:rFonts w:cs="Arial"/>
          <w:bCs/>
          <w:sz w:val="24"/>
          <w:szCs w:val="24"/>
        </w:rPr>
      </w:pPr>
      <w:r w:rsidRPr="002A2626">
        <w:rPr>
          <w:rFonts w:cs="Arial"/>
          <w:bCs/>
          <w:sz w:val="24"/>
          <w:szCs w:val="24"/>
        </w:rPr>
        <w:t>En cuanto a los precios públicos, no se estima variación con respecto al 2018, por lo que los ingresos se mantienen en 30.000 euros.</w:t>
      </w:r>
    </w:p>
    <w:p w:rsidR="002A2626" w:rsidRPr="002A2626" w:rsidRDefault="002A2626" w:rsidP="002A2626">
      <w:pPr>
        <w:spacing w:before="120" w:line="300" w:lineRule="auto"/>
        <w:ind w:firstLine="709"/>
        <w:rPr>
          <w:rFonts w:cs="Arial"/>
          <w:bCs/>
          <w:sz w:val="24"/>
          <w:szCs w:val="24"/>
        </w:rPr>
      </w:pPr>
      <w:r w:rsidRPr="002A2626">
        <w:rPr>
          <w:rFonts w:cs="Arial"/>
          <w:bCs/>
          <w:sz w:val="24"/>
          <w:szCs w:val="24"/>
        </w:rPr>
        <w:t xml:space="preserve">La previsión de ingresos de este Capítulo III supone un incremento con respecto al ejercicio anterior del 3,91%, siendo el peso total en el presupuesto de ingresos del </w:t>
      </w:r>
      <w:r w:rsidRPr="002A2626">
        <w:rPr>
          <w:rFonts w:cs="Arial"/>
          <w:b/>
          <w:bCs/>
          <w:sz w:val="24"/>
          <w:szCs w:val="24"/>
        </w:rPr>
        <w:t>12,41%.</w:t>
      </w:r>
    </w:p>
    <w:p w:rsidR="002A2626" w:rsidRPr="002A2626" w:rsidRDefault="002A2626" w:rsidP="002A2626">
      <w:pPr>
        <w:spacing w:before="120" w:line="300" w:lineRule="auto"/>
        <w:ind w:firstLine="709"/>
        <w:rPr>
          <w:rFonts w:cs="Arial"/>
          <w:bCs/>
          <w:sz w:val="24"/>
          <w:szCs w:val="24"/>
        </w:rPr>
      </w:pPr>
    </w:p>
    <w:p w:rsidR="002A2626" w:rsidRPr="002A2626" w:rsidRDefault="002A2626" w:rsidP="002A2626">
      <w:pPr>
        <w:pStyle w:val="Prrafodelista"/>
        <w:numPr>
          <w:ilvl w:val="0"/>
          <w:numId w:val="7"/>
        </w:numPr>
        <w:autoSpaceDE w:val="0"/>
        <w:autoSpaceDN w:val="0"/>
        <w:spacing w:before="120" w:after="0" w:line="300" w:lineRule="auto"/>
        <w:jc w:val="both"/>
        <w:rPr>
          <w:rFonts w:ascii="Arial" w:hAnsi="Arial" w:cs="Arial"/>
          <w:bCs/>
          <w:sz w:val="24"/>
          <w:szCs w:val="24"/>
        </w:rPr>
      </w:pPr>
      <w:r w:rsidRPr="002A2626">
        <w:rPr>
          <w:rFonts w:ascii="Arial" w:hAnsi="Arial" w:cs="Arial"/>
          <w:bCs/>
          <w:sz w:val="24"/>
          <w:szCs w:val="24"/>
        </w:rPr>
        <w:t xml:space="preserve">El </w:t>
      </w:r>
      <w:r w:rsidRPr="002A2626">
        <w:rPr>
          <w:rFonts w:ascii="Arial" w:hAnsi="Arial" w:cs="Arial"/>
          <w:b/>
          <w:bCs/>
          <w:sz w:val="24"/>
          <w:szCs w:val="24"/>
        </w:rPr>
        <w:t>Capítulo IV, Transferencias corrientes.</w:t>
      </w:r>
    </w:p>
    <w:p w:rsidR="002A2626" w:rsidRPr="002A2626" w:rsidRDefault="002A2626" w:rsidP="002A2626">
      <w:pPr>
        <w:spacing w:after="120" w:line="300" w:lineRule="auto"/>
        <w:ind w:firstLine="709"/>
        <w:rPr>
          <w:rFonts w:cs="Arial"/>
          <w:bCs/>
          <w:sz w:val="24"/>
          <w:szCs w:val="24"/>
        </w:rPr>
      </w:pPr>
      <w:r w:rsidRPr="002A2626">
        <w:rPr>
          <w:rFonts w:cs="Arial"/>
          <w:bCs/>
          <w:sz w:val="24"/>
          <w:szCs w:val="24"/>
        </w:rPr>
        <w:t xml:space="preserve">En este capítulo, que supone el </w:t>
      </w:r>
      <w:r w:rsidRPr="002A2626">
        <w:rPr>
          <w:rFonts w:cs="Arial"/>
          <w:b/>
          <w:bCs/>
          <w:sz w:val="24"/>
          <w:szCs w:val="24"/>
        </w:rPr>
        <w:t>82,18%</w:t>
      </w:r>
      <w:r w:rsidRPr="002A2626">
        <w:rPr>
          <w:rFonts w:cs="Arial"/>
          <w:bCs/>
          <w:sz w:val="24"/>
          <w:szCs w:val="24"/>
        </w:rPr>
        <w:t xml:space="preserve"> del presupuesto de ingresos, se recogen las transferencias corrientes de los miembros del Consorcio y de los ayuntamientos no consorciados, siendo la principal fuente de financiación de este Consorcio.</w:t>
      </w:r>
    </w:p>
    <w:p w:rsidR="002A2626" w:rsidRPr="002A2626" w:rsidRDefault="002A2626" w:rsidP="002A2626">
      <w:pPr>
        <w:spacing w:after="120" w:line="300" w:lineRule="auto"/>
        <w:ind w:firstLine="709"/>
        <w:rPr>
          <w:rFonts w:cs="Arial"/>
          <w:bCs/>
          <w:sz w:val="24"/>
          <w:szCs w:val="24"/>
        </w:rPr>
      </w:pPr>
      <w:r w:rsidRPr="002A2626">
        <w:rPr>
          <w:rFonts w:cs="Arial"/>
          <w:bCs/>
          <w:sz w:val="24"/>
          <w:szCs w:val="24"/>
        </w:rPr>
        <w:t xml:space="preserve">El artículo 30 de los Estatutos del Consorcio recoge el porcentaje de financiación de las aportaciones de sus administraciones consorciadas, </w:t>
      </w:r>
      <w:r w:rsidRPr="002A2626">
        <w:rPr>
          <w:rFonts w:cs="Arial"/>
          <w:bCs/>
          <w:sz w:val="24"/>
          <w:szCs w:val="24"/>
        </w:rPr>
        <w:lastRenderedPageBreak/>
        <w:t xml:space="preserve">incluyendo la de los ayuntamientos no </w:t>
      </w:r>
      <w:proofErr w:type="spellStart"/>
      <w:r w:rsidRPr="002A2626">
        <w:rPr>
          <w:rFonts w:cs="Arial"/>
          <w:bCs/>
          <w:sz w:val="24"/>
          <w:szCs w:val="24"/>
        </w:rPr>
        <w:t>consorciados.Estas</w:t>
      </w:r>
      <w:proofErr w:type="spellEnd"/>
      <w:r w:rsidRPr="002A2626">
        <w:rPr>
          <w:rFonts w:cs="Arial"/>
          <w:bCs/>
          <w:sz w:val="24"/>
          <w:szCs w:val="24"/>
        </w:rPr>
        <w:t xml:space="preserve"> aportaciones, que tienen carácter finalista respecto del servicio público que se presta, están englobadas en dos grupos:</w:t>
      </w:r>
    </w:p>
    <w:p w:rsidR="002A2626" w:rsidRPr="002A2626" w:rsidRDefault="002A2626" w:rsidP="002A2626">
      <w:pPr>
        <w:spacing w:line="300" w:lineRule="auto"/>
        <w:ind w:firstLine="709"/>
        <w:rPr>
          <w:rFonts w:cs="Arial"/>
          <w:bCs/>
          <w:sz w:val="24"/>
          <w:szCs w:val="24"/>
        </w:rPr>
      </w:pPr>
    </w:p>
    <w:p w:rsidR="002A2626" w:rsidRPr="002A2626" w:rsidRDefault="002A2626" w:rsidP="002A2626">
      <w:pPr>
        <w:spacing w:line="300" w:lineRule="auto"/>
        <w:ind w:firstLine="709"/>
        <w:rPr>
          <w:rFonts w:cs="Arial"/>
          <w:bCs/>
          <w:sz w:val="24"/>
          <w:szCs w:val="24"/>
        </w:rPr>
      </w:pPr>
      <w:r w:rsidRPr="002A2626">
        <w:rPr>
          <w:rFonts w:cs="Arial"/>
          <w:bCs/>
          <w:sz w:val="24"/>
          <w:szCs w:val="24"/>
        </w:rPr>
        <w:t xml:space="preserve">1.- </w:t>
      </w:r>
      <w:r w:rsidRPr="002A2626">
        <w:rPr>
          <w:rFonts w:cs="Arial"/>
          <w:bCs/>
          <w:sz w:val="24"/>
          <w:szCs w:val="24"/>
          <w:u w:val="single"/>
        </w:rPr>
        <w:t>Entidades locales</w:t>
      </w:r>
      <w:r w:rsidRPr="002A2626">
        <w:rPr>
          <w:rFonts w:cs="Arial"/>
          <w:bCs/>
          <w:sz w:val="24"/>
          <w:szCs w:val="24"/>
        </w:rPr>
        <w:t>: El Excmo. Cabildo Insular de Tenerife y los 31 ayuntamientos de la isla de Tenerife.</w:t>
      </w:r>
    </w:p>
    <w:p w:rsidR="002A2626" w:rsidRPr="002A2626" w:rsidRDefault="002A2626" w:rsidP="002A2626">
      <w:pPr>
        <w:spacing w:line="300" w:lineRule="auto"/>
        <w:ind w:firstLine="709"/>
        <w:rPr>
          <w:rFonts w:cs="Arial"/>
          <w:bCs/>
          <w:sz w:val="24"/>
          <w:szCs w:val="24"/>
        </w:rPr>
      </w:pPr>
    </w:p>
    <w:p w:rsidR="002A2626" w:rsidRPr="002A2626" w:rsidRDefault="002A2626" w:rsidP="002A2626">
      <w:pPr>
        <w:spacing w:after="120" w:line="300" w:lineRule="auto"/>
        <w:ind w:firstLine="709"/>
        <w:rPr>
          <w:rFonts w:cs="Arial"/>
          <w:bCs/>
          <w:sz w:val="24"/>
          <w:szCs w:val="24"/>
        </w:rPr>
      </w:pPr>
      <w:r w:rsidRPr="002A2626">
        <w:rPr>
          <w:rFonts w:cs="Arial"/>
          <w:bCs/>
          <w:sz w:val="24"/>
          <w:szCs w:val="24"/>
        </w:rPr>
        <w:t xml:space="preserve">Para el ejercicio 2019, los ayuntamientos no consorciados ascienden a 5, uno más que en el ejercicio anterior. A los ayuntamientos de Buenavista del Norte, La Matanza de </w:t>
      </w:r>
      <w:proofErr w:type="spellStart"/>
      <w:r w:rsidRPr="002A2626">
        <w:rPr>
          <w:rFonts w:cs="Arial"/>
          <w:bCs/>
          <w:sz w:val="24"/>
          <w:szCs w:val="24"/>
        </w:rPr>
        <w:t>Acentejo</w:t>
      </w:r>
      <w:proofErr w:type="spellEnd"/>
      <w:r w:rsidRPr="002A2626">
        <w:rPr>
          <w:rFonts w:cs="Arial"/>
          <w:bCs/>
          <w:sz w:val="24"/>
          <w:szCs w:val="24"/>
        </w:rPr>
        <w:t xml:space="preserve">, La Victoria de </w:t>
      </w:r>
      <w:proofErr w:type="spellStart"/>
      <w:r w:rsidRPr="002A2626">
        <w:rPr>
          <w:rFonts w:cs="Arial"/>
          <w:bCs/>
          <w:sz w:val="24"/>
          <w:szCs w:val="24"/>
        </w:rPr>
        <w:t>Acentejo</w:t>
      </w:r>
      <w:proofErr w:type="spellEnd"/>
      <w:r w:rsidRPr="002A2626">
        <w:rPr>
          <w:rFonts w:cs="Arial"/>
          <w:bCs/>
          <w:sz w:val="24"/>
          <w:szCs w:val="24"/>
        </w:rPr>
        <w:t xml:space="preserve"> y El Tanque, se suma a partir de 2019 el de Santiago del Teide. Los 26 ayuntamientos restantes de la isla forman parte de este Consorcio.</w:t>
      </w:r>
    </w:p>
    <w:p w:rsidR="002A2626" w:rsidRPr="002A2626" w:rsidRDefault="002A2626" w:rsidP="002A2626">
      <w:pPr>
        <w:spacing w:after="120" w:line="300" w:lineRule="auto"/>
        <w:ind w:firstLine="709"/>
        <w:rPr>
          <w:rFonts w:cs="Arial"/>
          <w:bCs/>
          <w:sz w:val="24"/>
          <w:szCs w:val="24"/>
        </w:rPr>
      </w:pPr>
      <w:r w:rsidRPr="002A2626">
        <w:rPr>
          <w:rFonts w:cs="Arial"/>
          <w:bCs/>
          <w:sz w:val="24"/>
          <w:szCs w:val="24"/>
        </w:rPr>
        <w:t>Las aportaciones que les correspondan a los cinco ayuntamientos no consorciados, a los que igualmente se les presta el servicio de prevención, extinción de incendios y salvamento, serán detraídas de la participación de tales municipios en los Planes Insulares de Cooperación Municipal, y su aportación en el total del Presupuesto para 2019 es del1,22%.</w:t>
      </w:r>
    </w:p>
    <w:p w:rsidR="002A2626" w:rsidRPr="002A2626" w:rsidRDefault="002A2626" w:rsidP="002A2626">
      <w:pPr>
        <w:spacing w:after="120" w:line="300" w:lineRule="auto"/>
        <w:ind w:firstLine="709"/>
        <w:rPr>
          <w:rFonts w:cs="Arial"/>
          <w:bCs/>
          <w:sz w:val="24"/>
          <w:szCs w:val="24"/>
        </w:rPr>
      </w:pPr>
      <w:r w:rsidRPr="002A2626">
        <w:rPr>
          <w:rFonts w:cs="Arial"/>
          <w:bCs/>
          <w:sz w:val="24"/>
          <w:szCs w:val="24"/>
        </w:rPr>
        <w:t>En lo que se refiere a las entidades locales, la aportación principal es la del Excmo. Cabildo Insular de Tenerife con un 40% del total de aportaciones de las entidades locales de la Isla, y que este año asciende a 5.829.406,38 euros, de los que 5.279.953,82 euros corresponde a la aportación para gastos corrientes, y 549.452,56euros a la aportación de capital.</w:t>
      </w:r>
    </w:p>
    <w:p w:rsidR="002A2626" w:rsidRPr="002A2626" w:rsidRDefault="002A2626" w:rsidP="002A2626">
      <w:pPr>
        <w:spacing w:line="300" w:lineRule="auto"/>
        <w:ind w:firstLine="709"/>
        <w:rPr>
          <w:rFonts w:cs="Arial"/>
          <w:bCs/>
          <w:sz w:val="24"/>
          <w:szCs w:val="24"/>
        </w:rPr>
      </w:pPr>
    </w:p>
    <w:p w:rsidR="002A2626" w:rsidRPr="002A2626" w:rsidRDefault="002A2626" w:rsidP="002A2626">
      <w:pPr>
        <w:spacing w:line="300" w:lineRule="auto"/>
        <w:ind w:firstLine="709"/>
        <w:rPr>
          <w:rFonts w:cs="Arial"/>
          <w:bCs/>
          <w:sz w:val="24"/>
          <w:szCs w:val="24"/>
        </w:rPr>
      </w:pPr>
      <w:r w:rsidRPr="002A2626">
        <w:rPr>
          <w:rFonts w:cs="Arial"/>
          <w:bCs/>
          <w:sz w:val="24"/>
          <w:szCs w:val="24"/>
        </w:rPr>
        <w:t>La aportación de los 31 ayuntamientos de la Isla de Tenerife asciende a 8.744.109,57 euros, distribuyéndose en tres bloques:</w:t>
      </w:r>
    </w:p>
    <w:p w:rsidR="002A2626" w:rsidRPr="002A2626" w:rsidRDefault="002A2626" w:rsidP="002A2626">
      <w:pPr>
        <w:spacing w:line="300" w:lineRule="auto"/>
        <w:ind w:firstLine="709"/>
        <w:rPr>
          <w:rFonts w:cs="Arial"/>
          <w:bCs/>
          <w:sz w:val="24"/>
          <w:szCs w:val="24"/>
        </w:rPr>
      </w:pPr>
    </w:p>
    <w:p w:rsidR="002A2626" w:rsidRPr="002A2626" w:rsidRDefault="002A2626" w:rsidP="002A2626">
      <w:pPr>
        <w:pStyle w:val="Prrafodelista"/>
        <w:numPr>
          <w:ilvl w:val="0"/>
          <w:numId w:val="7"/>
        </w:numPr>
        <w:autoSpaceDE w:val="0"/>
        <w:autoSpaceDN w:val="0"/>
        <w:spacing w:after="0" w:line="300" w:lineRule="auto"/>
        <w:jc w:val="both"/>
        <w:rPr>
          <w:rFonts w:ascii="Arial" w:hAnsi="Arial" w:cs="Arial"/>
          <w:bCs/>
          <w:sz w:val="24"/>
          <w:szCs w:val="24"/>
        </w:rPr>
      </w:pPr>
      <w:r w:rsidRPr="002A2626">
        <w:rPr>
          <w:rFonts w:ascii="Arial" w:hAnsi="Arial" w:cs="Arial"/>
          <w:bCs/>
          <w:sz w:val="24"/>
          <w:szCs w:val="24"/>
        </w:rPr>
        <w:t>Aportaciones de Ayuntamientos de más de 50.000 habitantes (40%), con un total de 5.829.406,38 euros, entre los que se incluyen Ayuntamiento de Santa Cruz de Tenerife con un 19% (2.768.968,03 euros), el Ayuntamiento de San Cristóbal de La Laguna con un 14% (2.040.292,23 euros) y Ayuntamiento de Arona con una aportación del 7% (1.020.146,12 euros).</w:t>
      </w:r>
    </w:p>
    <w:p w:rsidR="002A2626" w:rsidRPr="002A2626" w:rsidRDefault="002A2626" w:rsidP="002A2626">
      <w:pPr>
        <w:pStyle w:val="Prrafodelista"/>
        <w:numPr>
          <w:ilvl w:val="0"/>
          <w:numId w:val="7"/>
        </w:numPr>
        <w:autoSpaceDE w:val="0"/>
        <w:autoSpaceDN w:val="0"/>
        <w:spacing w:after="0" w:line="300" w:lineRule="auto"/>
        <w:jc w:val="both"/>
        <w:rPr>
          <w:rFonts w:ascii="Arial" w:hAnsi="Arial" w:cs="Arial"/>
          <w:bCs/>
          <w:sz w:val="24"/>
          <w:szCs w:val="24"/>
        </w:rPr>
      </w:pPr>
      <w:r w:rsidRPr="002A2626">
        <w:rPr>
          <w:rFonts w:ascii="Arial" w:hAnsi="Arial" w:cs="Arial"/>
          <w:bCs/>
          <w:sz w:val="24"/>
          <w:szCs w:val="24"/>
        </w:rPr>
        <w:t>Aportaciones de Ayuntamientos entre 20.001 y 50.000 habitantes, con un 14% del total, que ascienden a 2.040.292,23 euros).</w:t>
      </w:r>
    </w:p>
    <w:p w:rsidR="002A2626" w:rsidRPr="002A2626" w:rsidRDefault="002A2626" w:rsidP="002A2626">
      <w:pPr>
        <w:pStyle w:val="Prrafodelista"/>
        <w:numPr>
          <w:ilvl w:val="0"/>
          <w:numId w:val="7"/>
        </w:numPr>
        <w:autoSpaceDE w:val="0"/>
        <w:autoSpaceDN w:val="0"/>
        <w:spacing w:after="0" w:line="300" w:lineRule="auto"/>
        <w:jc w:val="both"/>
        <w:rPr>
          <w:rFonts w:ascii="Arial" w:hAnsi="Arial" w:cs="Arial"/>
          <w:bCs/>
          <w:sz w:val="24"/>
          <w:szCs w:val="24"/>
        </w:rPr>
      </w:pPr>
      <w:r w:rsidRPr="002A2626">
        <w:rPr>
          <w:rFonts w:ascii="Arial" w:hAnsi="Arial" w:cs="Arial"/>
          <w:bCs/>
          <w:sz w:val="24"/>
          <w:szCs w:val="24"/>
        </w:rPr>
        <w:lastRenderedPageBreak/>
        <w:t xml:space="preserve">Aportaciones de los Ayuntamientos de 20.000 habitantes o menos, que se cifran en 874.410,96euros. Dentro de este bloque están incluidos los cinco ayuntamientos no consorciados de la Isla (Buenavista, La Matanza, La Victoria, El Tanque y Santiago del Teide) que suman 234.221,68 euros. </w:t>
      </w:r>
    </w:p>
    <w:p w:rsidR="002A2626" w:rsidRPr="002A2626" w:rsidRDefault="002A2626" w:rsidP="002A2626">
      <w:pPr>
        <w:spacing w:line="300" w:lineRule="auto"/>
        <w:ind w:firstLine="709"/>
        <w:rPr>
          <w:rFonts w:cs="Arial"/>
          <w:bCs/>
          <w:sz w:val="24"/>
          <w:szCs w:val="24"/>
        </w:rPr>
      </w:pPr>
    </w:p>
    <w:p w:rsidR="002A2626" w:rsidRPr="002A2626" w:rsidRDefault="002A2626" w:rsidP="002A2626">
      <w:pPr>
        <w:spacing w:after="120" w:line="300" w:lineRule="auto"/>
        <w:ind w:firstLine="709"/>
        <w:rPr>
          <w:rFonts w:cs="Arial"/>
          <w:bCs/>
          <w:sz w:val="24"/>
          <w:szCs w:val="24"/>
        </w:rPr>
      </w:pPr>
      <w:r w:rsidRPr="002A2626">
        <w:rPr>
          <w:rFonts w:cs="Arial"/>
          <w:bCs/>
          <w:sz w:val="24"/>
          <w:szCs w:val="24"/>
        </w:rPr>
        <w:t xml:space="preserve">2.- </w:t>
      </w:r>
      <w:r w:rsidRPr="002A2626">
        <w:rPr>
          <w:rFonts w:cs="Arial"/>
          <w:bCs/>
          <w:sz w:val="24"/>
          <w:szCs w:val="24"/>
          <w:u w:val="single"/>
        </w:rPr>
        <w:t>Comunidad Autónoma de Canarias</w:t>
      </w:r>
      <w:r w:rsidRPr="002A2626">
        <w:rPr>
          <w:rFonts w:cs="Arial"/>
          <w:bCs/>
          <w:sz w:val="24"/>
          <w:szCs w:val="24"/>
        </w:rPr>
        <w:t>, que participa en la cantidad que determine en la Ley de Presupuestos Generales de su Comunidad para cada año.</w:t>
      </w:r>
    </w:p>
    <w:p w:rsidR="002A2626" w:rsidRPr="002A2626" w:rsidRDefault="002A2626" w:rsidP="002A2626">
      <w:pPr>
        <w:spacing w:after="120" w:line="300" w:lineRule="auto"/>
        <w:ind w:firstLine="709"/>
        <w:rPr>
          <w:rFonts w:cs="Arial"/>
          <w:bCs/>
          <w:sz w:val="24"/>
          <w:szCs w:val="24"/>
        </w:rPr>
      </w:pPr>
      <w:r w:rsidRPr="002A2626">
        <w:rPr>
          <w:rFonts w:cs="Arial"/>
          <w:bCs/>
          <w:sz w:val="24"/>
          <w:szCs w:val="24"/>
        </w:rPr>
        <w:t>En el momento de elaboración de este Presupuesto para 2019 no hay aún Proyecto de Ley de Presupuestos de la Comunidad Autónoma de Canarias para el ejercicio 2019, por lo que por un principio de prudencia y teniendo en cuenta la evolución de los ingresos por parte del Gobierno de Canarias en los últimos años, se ha previsto que la aportación de la Administración autónoma sea la misma (1.801.374,00 euros).</w:t>
      </w:r>
    </w:p>
    <w:p w:rsidR="002A2626" w:rsidRPr="002A2626" w:rsidRDefault="002A2626" w:rsidP="002A2626">
      <w:pPr>
        <w:spacing w:before="120" w:line="300" w:lineRule="auto"/>
        <w:ind w:firstLine="709"/>
        <w:rPr>
          <w:rFonts w:cs="Arial"/>
          <w:bCs/>
          <w:color w:val="FF0000"/>
          <w:sz w:val="24"/>
          <w:szCs w:val="24"/>
        </w:rPr>
      </w:pPr>
    </w:p>
    <w:p w:rsidR="002A2626" w:rsidRPr="002A2626" w:rsidRDefault="002A2626" w:rsidP="002A2626">
      <w:pPr>
        <w:pStyle w:val="Prrafodelista"/>
        <w:numPr>
          <w:ilvl w:val="0"/>
          <w:numId w:val="7"/>
        </w:numPr>
        <w:autoSpaceDE w:val="0"/>
        <w:autoSpaceDN w:val="0"/>
        <w:spacing w:before="120" w:after="0" w:line="300" w:lineRule="auto"/>
        <w:jc w:val="both"/>
        <w:rPr>
          <w:rFonts w:ascii="Arial" w:hAnsi="Arial" w:cs="Arial"/>
          <w:bCs/>
          <w:sz w:val="24"/>
          <w:szCs w:val="24"/>
        </w:rPr>
      </w:pPr>
      <w:r w:rsidRPr="002A2626">
        <w:rPr>
          <w:rFonts w:ascii="Arial" w:hAnsi="Arial" w:cs="Arial"/>
          <w:bCs/>
          <w:sz w:val="24"/>
          <w:szCs w:val="24"/>
        </w:rPr>
        <w:t xml:space="preserve">El </w:t>
      </w:r>
      <w:r w:rsidRPr="002A2626">
        <w:rPr>
          <w:rFonts w:ascii="Arial" w:hAnsi="Arial" w:cs="Arial"/>
          <w:b/>
          <w:bCs/>
          <w:sz w:val="24"/>
          <w:szCs w:val="24"/>
        </w:rPr>
        <w:t>Capítulo V, Ingresos patrimoniales</w:t>
      </w:r>
    </w:p>
    <w:p w:rsidR="002A2626" w:rsidRPr="002A2626" w:rsidRDefault="002A2626" w:rsidP="002A2626">
      <w:pPr>
        <w:spacing w:before="120" w:line="300" w:lineRule="auto"/>
        <w:ind w:firstLine="720"/>
        <w:rPr>
          <w:rFonts w:cs="Arial"/>
          <w:bCs/>
          <w:sz w:val="24"/>
          <w:szCs w:val="24"/>
        </w:rPr>
      </w:pPr>
      <w:r w:rsidRPr="002A2626">
        <w:rPr>
          <w:rFonts w:cs="Arial"/>
          <w:bCs/>
          <w:sz w:val="24"/>
          <w:szCs w:val="24"/>
        </w:rPr>
        <w:t xml:space="preserve">En este capítulo solo se recoge los intereses de las cuentas bancarias cuya estimación para este ejercicio se prevé en 2.500 euros, debido a la bajada del Euribor y de la disminución de los excedentes de tesorería materializados en imposiciones a plazo fijo (I.P.F.). </w:t>
      </w:r>
    </w:p>
    <w:p w:rsidR="002A2626" w:rsidRPr="002A2626" w:rsidRDefault="002A2626" w:rsidP="002A2626">
      <w:pPr>
        <w:spacing w:before="120" w:line="300" w:lineRule="auto"/>
        <w:ind w:firstLine="709"/>
        <w:rPr>
          <w:rFonts w:cs="Arial"/>
          <w:bCs/>
          <w:sz w:val="24"/>
          <w:szCs w:val="24"/>
        </w:rPr>
      </w:pPr>
      <w:r w:rsidRPr="002A2626">
        <w:rPr>
          <w:rFonts w:cs="Arial"/>
          <w:bCs/>
          <w:sz w:val="24"/>
          <w:szCs w:val="24"/>
        </w:rPr>
        <w:t xml:space="preserve">Este Capítulo supone el </w:t>
      </w:r>
      <w:r w:rsidRPr="002A2626">
        <w:rPr>
          <w:rFonts w:cs="Arial"/>
          <w:b/>
          <w:bCs/>
          <w:sz w:val="24"/>
          <w:szCs w:val="24"/>
        </w:rPr>
        <w:t>0,01 %</w:t>
      </w:r>
      <w:r w:rsidRPr="002A2626">
        <w:rPr>
          <w:rFonts w:cs="Arial"/>
          <w:bCs/>
          <w:sz w:val="24"/>
          <w:szCs w:val="24"/>
        </w:rPr>
        <w:t xml:space="preserve"> del total del Presupuesto de ingresos.</w:t>
      </w:r>
    </w:p>
    <w:p w:rsidR="002A2626" w:rsidRPr="002A2626" w:rsidRDefault="002A2626" w:rsidP="002A2626">
      <w:pPr>
        <w:spacing w:before="120" w:line="300" w:lineRule="auto"/>
        <w:ind w:firstLine="709"/>
        <w:rPr>
          <w:rFonts w:cs="Arial"/>
          <w:bCs/>
          <w:color w:val="FF0000"/>
          <w:sz w:val="24"/>
          <w:szCs w:val="24"/>
        </w:rPr>
      </w:pPr>
    </w:p>
    <w:p w:rsidR="002A2626" w:rsidRPr="002A2626" w:rsidRDefault="002A2626" w:rsidP="002A2626">
      <w:pPr>
        <w:pStyle w:val="Prrafodelista"/>
        <w:numPr>
          <w:ilvl w:val="0"/>
          <w:numId w:val="7"/>
        </w:numPr>
        <w:autoSpaceDE w:val="0"/>
        <w:autoSpaceDN w:val="0"/>
        <w:spacing w:before="120" w:after="0" w:line="300" w:lineRule="auto"/>
        <w:jc w:val="both"/>
        <w:rPr>
          <w:rFonts w:ascii="Arial" w:hAnsi="Arial" w:cs="Arial"/>
          <w:bCs/>
          <w:sz w:val="24"/>
          <w:szCs w:val="24"/>
        </w:rPr>
      </w:pPr>
      <w:r w:rsidRPr="002A2626">
        <w:rPr>
          <w:rFonts w:ascii="Arial" w:hAnsi="Arial" w:cs="Arial"/>
          <w:bCs/>
          <w:sz w:val="24"/>
          <w:szCs w:val="24"/>
        </w:rPr>
        <w:t xml:space="preserve">El </w:t>
      </w:r>
      <w:r w:rsidRPr="002A2626">
        <w:rPr>
          <w:rFonts w:ascii="Arial" w:hAnsi="Arial" w:cs="Arial"/>
          <w:b/>
          <w:bCs/>
          <w:sz w:val="24"/>
          <w:szCs w:val="24"/>
        </w:rPr>
        <w:t>Capítulo VII, Transferencias de capital</w:t>
      </w:r>
    </w:p>
    <w:p w:rsidR="002A2626" w:rsidRPr="002A2626" w:rsidRDefault="002A2626" w:rsidP="002A2626">
      <w:pPr>
        <w:spacing w:before="120" w:line="300" w:lineRule="auto"/>
        <w:ind w:firstLine="709"/>
        <w:rPr>
          <w:rFonts w:cs="Arial"/>
          <w:bCs/>
          <w:sz w:val="24"/>
          <w:szCs w:val="24"/>
        </w:rPr>
      </w:pPr>
      <w:r w:rsidRPr="002A2626">
        <w:rPr>
          <w:rFonts w:cs="Arial"/>
          <w:bCs/>
          <w:sz w:val="24"/>
          <w:szCs w:val="24"/>
        </w:rPr>
        <w:t>Este capítulo, que se cifra en 928.442,56 euros de aportaciones de capital del Excmo. Cabildo de Tenerife, y que supone el 4,82% del total del Presupuesto de ingresos, está formado por dos cantidades:</w:t>
      </w:r>
    </w:p>
    <w:p w:rsidR="002A2626" w:rsidRPr="002A2626" w:rsidRDefault="002A2626" w:rsidP="002A2626">
      <w:pPr>
        <w:pStyle w:val="Prrafodelista"/>
        <w:numPr>
          <w:ilvl w:val="3"/>
          <w:numId w:val="7"/>
        </w:numPr>
        <w:tabs>
          <w:tab w:val="clear" w:pos="3240"/>
        </w:tabs>
        <w:autoSpaceDE w:val="0"/>
        <w:autoSpaceDN w:val="0"/>
        <w:spacing w:before="120" w:after="0" w:line="300" w:lineRule="auto"/>
        <w:ind w:left="1418" w:hanging="284"/>
        <w:jc w:val="both"/>
        <w:rPr>
          <w:rFonts w:ascii="Arial" w:hAnsi="Arial" w:cs="Arial"/>
          <w:bCs/>
          <w:sz w:val="24"/>
          <w:szCs w:val="24"/>
        </w:rPr>
      </w:pPr>
      <w:r w:rsidRPr="002A2626">
        <w:rPr>
          <w:rFonts w:ascii="Arial" w:hAnsi="Arial" w:cs="Arial"/>
          <w:bCs/>
          <w:sz w:val="24"/>
          <w:szCs w:val="24"/>
        </w:rPr>
        <w:t>La primera, por importe de 549.452,56 euros, corresponde a parte del 40%con el que el Cabildo de Tenerife, según el artículo 30 de los Estatutos, participa en este Consorcio.</w:t>
      </w:r>
    </w:p>
    <w:p w:rsidR="002A2626" w:rsidRPr="002A2626" w:rsidRDefault="002A2626" w:rsidP="002A2626">
      <w:pPr>
        <w:pStyle w:val="Prrafodelista"/>
        <w:numPr>
          <w:ilvl w:val="3"/>
          <w:numId w:val="7"/>
        </w:numPr>
        <w:tabs>
          <w:tab w:val="clear" w:pos="3240"/>
        </w:tabs>
        <w:autoSpaceDE w:val="0"/>
        <w:autoSpaceDN w:val="0"/>
        <w:spacing w:before="120" w:after="0" w:line="300" w:lineRule="auto"/>
        <w:ind w:left="1418" w:hanging="284"/>
        <w:jc w:val="both"/>
        <w:rPr>
          <w:rFonts w:ascii="Arial" w:hAnsi="Arial" w:cs="Arial"/>
          <w:bCs/>
          <w:sz w:val="24"/>
          <w:szCs w:val="24"/>
        </w:rPr>
      </w:pPr>
      <w:r w:rsidRPr="002A2626">
        <w:rPr>
          <w:rFonts w:ascii="Arial" w:hAnsi="Arial" w:cs="Arial"/>
          <w:bCs/>
          <w:sz w:val="24"/>
          <w:szCs w:val="24"/>
        </w:rPr>
        <w:lastRenderedPageBreak/>
        <w:t xml:space="preserve">La segunda, por importe de 378.990,00 euros, incluye el total de las inversiones presupuestadas para poner en funcionamiento el Parque de Bomberos de </w:t>
      </w:r>
      <w:proofErr w:type="spellStart"/>
      <w:r w:rsidRPr="002A2626">
        <w:rPr>
          <w:rFonts w:ascii="Arial" w:hAnsi="Arial" w:cs="Arial"/>
          <w:bCs/>
          <w:sz w:val="24"/>
          <w:szCs w:val="24"/>
        </w:rPr>
        <w:t>Güímar</w:t>
      </w:r>
      <w:proofErr w:type="spellEnd"/>
      <w:r w:rsidRPr="002A2626">
        <w:rPr>
          <w:rFonts w:ascii="Arial" w:hAnsi="Arial" w:cs="Arial"/>
          <w:bCs/>
          <w:sz w:val="24"/>
          <w:szCs w:val="24"/>
        </w:rPr>
        <w:t>.</w:t>
      </w:r>
    </w:p>
    <w:p w:rsidR="002A2626" w:rsidRPr="002A2626" w:rsidRDefault="002A2626" w:rsidP="002A2626">
      <w:pPr>
        <w:pStyle w:val="Prrafodelista"/>
        <w:spacing w:before="120" w:line="300" w:lineRule="auto"/>
        <w:ind w:left="0" w:firstLine="567"/>
        <w:jc w:val="both"/>
        <w:rPr>
          <w:rFonts w:ascii="Arial" w:hAnsi="Arial" w:cs="Arial"/>
          <w:bCs/>
          <w:sz w:val="24"/>
          <w:szCs w:val="24"/>
        </w:rPr>
      </w:pPr>
      <w:r w:rsidRPr="002A2626">
        <w:rPr>
          <w:rFonts w:ascii="Arial" w:hAnsi="Arial" w:cs="Arial"/>
          <w:bCs/>
          <w:sz w:val="24"/>
          <w:szCs w:val="24"/>
        </w:rPr>
        <w:t>Este capítulo ha disminuido con respecto al del ejercicio 2018 en un 64,96%, que en términos absolutos se cifra en 1.721.582,94 euros.</w:t>
      </w:r>
    </w:p>
    <w:p w:rsidR="002A2626" w:rsidRPr="002A2626" w:rsidRDefault="002A2626" w:rsidP="002A2626">
      <w:pPr>
        <w:pStyle w:val="Prrafodelista"/>
        <w:spacing w:before="120" w:line="300" w:lineRule="auto"/>
        <w:ind w:left="0" w:firstLine="709"/>
        <w:jc w:val="both"/>
        <w:rPr>
          <w:rFonts w:ascii="Arial" w:hAnsi="Arial" w:cs="Arial"/>
          <w:bCs/>
          <w:sz w:val="24"/>
          <w:szCs w:val="24"/>
        </w:rPr>
      </w:pPr>
    </w:p>
    <w:p w:rsidR="002A2626" w:rsidRPr="002A2626" w:rsidRDefault="002A2626" w:rsidP="002A2626">
      <w:pPr>
        <w:pStyle w:val="Prrafodelista"/>
        <w:spacing w:before="120" w:line="300" w:lineRule="auto"/>
        <w:ind w:left="0" w:firstLine="709"/>
        <w:jc w:val="both"/>
        <w:rPr>
          <w:rFonts w:ascii="Arial" w:hAnsi="Arial" w:cs="Arial"/>
          <w:bCs/>
          <w:sz w:val="24"/>
          <w:szCs w:val="24"/>
        </w:rPr>
      </w:pPr>
    </w:p>
    <w:p w:rsidR="002A2626" w:rsidRPr="002A2626" w:rsidRDefault="002A2626" w:rsidP="002A2626">
      <w:pPr>
        <w:pStyle w:val="Prrafodelista"/>
        <w:numPr>
          <w:ilvl w:val="0"/>
          <w:numId w:val="7"/>
        </w:numPr>
        <w:autoSpaceDE w:val="0"/>
        <w:autoSpaceDN w:val="0"/>
        <w:spacing w:before="120" w:after="0" w:line="300" w:lineRule="auto"/>
        <w:jc w:val="both"/>
        <w:rPr>
          <w:rFonts w:ascii="Arial" w:hAnsi="Arial" w:cs="Arial"/>
          <w:bCs/>
          <w:sz w:val="24"/>
          <w:szCs w:val="24"/>
        </w:rPr>
      </w:pPr>
      <w:r w:rsidRPr="002A2626">
        <w:rPr>
          <w:rFonts w:ascii="Arial" w:hAnsi="Arial" w:cs="Arial"/>
          <w:bCs/>
          <w:sz w:val="24"/>
          <w:szCs w:val="24"/>
        </w:rPr>
        <w:t xml:space="preserve">El </w:t>
      </w:r>
      <w:r w:rsidRPr="002A2626">
        <w:rPr>
          <w:rFonts w:ascii="Arial" w:hAnsi="Arial" w:cs="Arial"/>
          <w:b/>
          <w:bCs/>
          <w:i/>
          <w:sz w:val="24"/>
          <w:szCs w:val="24"/>
        </w:rPr>
        <w:t>Capítulo VIII</w:t>
      </w:r>
      <w:r w:rsidRPr="002A2626">
        <w:rPr>
          <w:rFonts w:ascii="Arial" w:hAnsi="Arial" w:cs="Arial"/>
          <w:bCs/>
          <w:sz w:val="24"/>
          <w:szCs w:val="24"/>
        </w:rPr>
        <w:t xml:space="preserve">, </w:t>
      </w:r>
      <w:r w:rsidRPr="002A2626">
        <w:rPr>
          <w:rFonts w:ascii="Arial" w:hAnsi="Arial" w:cs="Arial"/>
          <w:b/>
          <w:bCs/>
          <w:sz w:val="24"/>
          <w:szCs w:val="24"/>
        </w:rPr>
        <w:t>Activos financieros</w:t>
      </w:r>
    </w:p>
    <w:p w:rsidR="002A2626" w:rsidRPr="002A2626" w:rsidRDefault="002A2626" w:rsidP="002A2626">
      <w:pPr>
        <w:spacing w:before="120" w:line="300" w:lineRule="auto"/>
        <w:ind w:firstLine="709"/>
        <w:rPr>
          <w:rFonts w:cs="Arial"/>
          <w:bCs/>
          <w:sz w:val="24"/>
          <w:szCs w:val="24"/>
        </w:rPr>
      </w:pPr>
      <w:r w:rsidRPr="002A2626">
        <w:rPr>
          <w:rFonts w:cs="Arial"/>
          <w:bCs/>
          <w:sz w:val="24"/>
          <w:szCs w:val="24"/>
        </w:rPr>
        <w:t xml:space="preserve">En el capítulo VIII </w:t>
      </w:r>
      <w:proofErr w:type="spellStart"/>
      <w:r w:rsidRPr="002A2626">
        <w:rPr>
          <w:rFonts w:cs="Arial"/>
          <w:bCs/>
          <w:sz w:val="24"/>
          <w:szCs w:val="24"/>
        </w:rPr>
        <w:t>solose</w:t>
      </w:r>
      <w:proofErr w:type="spellEnd"/>
      <w:r w:rsidRPr="002A2626">
        <w:rPr>
          <w:rFonts w:cs="Arial"/>
          <w:bCs/>
          <w:sz w:val="24"/>
          <w:szCs w:val="24"/>
        </w:rPr>
        <w:t xml:space="preserve"> recoge los préstamos por anticipos al </w:t>
      </w:r>
      <w:proofErr w:type="spellStart"/>
      <w:r w:rsidRPr="002A2626">
        <w:rPr>
          <w:rFonts w:cs="Arial"/>
          <w:bCs/>
          <w:sz w:val="24"/>
          <w:szCs w:val="24"/>
        </w:rPr>
        <w:t>personalal</w:t>
      </w:r>
      <w:proofErr w:type="spellEnd"/>
      <w:r w:rsidRPr="002A2626">
        <w:rPr>
          <w:rFonts w:cs="Arial"/>
          <w:bCs/>
          <w:sz w:val="24"/>
          <w:szCs w:val="24"/>
        </w:rPr>
        <w:t xml:space="preserve"> que tienen derecho los trabajadores del Consorcio, y que se establecen en el acuerdo del personal funcionario y el convenio del personal laboral, que no experimenta variación alguna, y que se cifra en el 0,57% del total del presupuesto.</w:t>
      </w:r>
    </w:p>
    <w:p w:rsidR="002A2626" w:rsidRPr="002A2626" w:rsidRDefault="002A2626" w:rsidP="002A2626">
      <w:pPr>
        <w:spacing w:before="120" w:line="300" w:lineRule="auto"/>
        <w:ind w:firstLine="709"/>
        <w:rPr>
          <w:rFonts w:cs="Arial"/>
          <w:bCs/>
          <w:sz w:val="24"/>
          <w:szCs w:val="24"/>
        </w:rPr>
      </w:pPr>
    </w:p>
    <w:p w:rsidR="002A2626" w:rsidRPr="002A2626" w:rsidRDefault="002A2626" w:rsidP="002A2626">
      <w:pPr>
        <w:pStyle w:val="Ttulo2"/>
      </w:pPr>
    </w:p>
    <w:p w:rsidR="002A2626" w:rsidRPr="002A2626" w:rsidRDefault="002A2626" w:rsidP="002A2626">
      <w:pPr>
        <w:pStyle w:val="Ttulo2"/>
        <w:rPr>
          <w:u w:val="single"/>
        </w:rPr>
      </w:pPr>
      <w:r w:rsidRPr="002A2626">
        <w:rPr>
          <w:u w:val="single"/>
        </w:rPr>
        <w:t>2.1 PRESUPUESTO DE GASTOS</w:t>
      </w:r>
    </w:p>
    <w:p w:rsidR="002A2626" w:rsidRPr="002A2626" w:rsidRDefault="002A2626" w:rsidP="002A2626">
      <w:pPr>
        <w:spacing w:before="120" w:line="300" w:lineRule="auto"/>
        <w:ind w:firstLine="709"/>
        <w:rPr>
          <w:rFonts w:cs="Arial"/>
          <w:bCs/>
          <w:sz w:val="24"/>
          <w:szCs w:val="24"/>
        </w:rPr>
      </w:pPr>
    </w:p>
    <w:p w:rsidR="002A2626" w:rsidRPr="002A2626" w:rsidRDefault="002A2626" w:rsidP="002A2626">
      <w:pPr>
        <w:spacing w:before="120" w:line="300" w:lineRule="auto"/>
        <w:ind w:firstLine="709"/>
        <w:rPr>
          <w:rFonts w:cs="Arial"/>
          <w:bCs/>
          <w:sz w:val="24"/>
          <w:szCs w:val="24"/>
        </w:rPr>
      </w:pPr>
      <w:r w:rsidRPr="002A2626">
        <w:rPr>
          <w:rFonts w:cs="Arial"/>
          <w:bCs/>
          <w:sz w:val="24"/>
          <w:szCs w:val="24"/>
        </w:rPr>
        <w:t xml:space="preserve">El Presupuesto de Gastos del Consorcio para el ejercicio 2019 es de </w:t>
      </w:r>
      <w:r w:rsidRPr="002A2626">
        <w:rPr>
          <w:rFonts w:cs="Arial"/>
          <w:b/>
          <w:bCs/>
          <w:sz w:val="24"/>
          <w:szCs w:val="24"/>
        </w:rPr>
        <w:t>19.256.379,94 euros</w:t>
      </w:r>
      <w:r w:rsidRPr="002A2626">
        <w:rPr>
          <w:rFonts w:cs="Arial"/>
          <w:bCs/>
          <w:sz w:val="24"/>
          <w:szCs w:val="24"/>
        </w:rPr>
        <w:t>, distribuyéndose de la siguiente forma atendiendo a la clasificación económica de los créditos:</w:t>
      </w:r>
    </w:p>
    <w:p w:rsidR="002A2626" w:rsidRPr="002A2626" w:rsidRDefault="002A2626" w:rsidP="002A2626">
      <w:pPr>
        <w:spacing w:before="120" w:line="300" w:lineRule="auto"/>
        <w:ind w:firstLine="709"/>
        <w:rPr>
          <w:rFonts w:cs="Arial"/>
          <w:bCs/>
          <w:color w:val="FF0000"/>
          <w:sz w:val="24"/>
          <w:szCs w:val="24"/>
        </w:rPr>
      </w:pPr>
    </w:p>
    <w:tbl>
      <w:tblPr>
        <w:tblW w:w="8647" w:type="dxa"/>
        <w:jc w:val="center"/>
        <w:tblBorders>
          <w:top w:val="single" w:sz="12" w:space="0" w:color="000000"/>
          <w:bottom w:val="single" w:sz="12" w:space="0" w:color="000000"/>
        </w:tblBorders>
        <w:tblLayout w:type="fixed"/>
        <w:tblLook w:val="01E0"/>
      </w:tblPr>
      <w:tblGrid>
        <w:gridCol w:w="993"/>
        <w:gridCol w:w="3340"/>
        <w:gridCol w:w="1582"/>
        <w:gridCol w:w="1582"/>
        <w:gridCol w:w="1150"/>
      </w:tblGrid>
      <w:tr w:rsidR="002A2626" w:rsidRPr="002A2626" w:rsidTr="00853C79">
        <w:trPr>
          <w:trHeight w:val="510"/>
          <w:jc w:val="center"/>
        </w:trPr>
        <w:tc>
          <w:tcPr>
            <w:tcW w:w="993" w:type="dxa"/>
            <w:tcBorders>
              <w:top w:val="single" w:sz="12" w:space="0" w:color="000000"/>
              <w:bottom w:val="single" w:sz="6" w:space="0" w:color="000000"/>
            </w:tcBorders>
            <w:shd w:val="clear" w:color="auto" w:fill="auto"/>
          </w:tcPr>
          <w:p w:rsidR="002A2626" w:rsidRPr="002A2626" w:rsidRDefault="002A2626" w:rsidP="002A2626">
            <w:pPr>
              <w:spacing w:before="120" w:line="300" w:lineRule="auto"/>
              <w:rPr>
                <w:rFonts w:cs="Arial"/>
                <w:b/>
                <w:bCs/>
                <w:sz w:val="24"/>
                <w:szCs w:val="24"/>
              </w:rPr>
            </w:pPr>
            <w:r w:rsidRPr="002A2626">
              <w:rPr>
                <w:rFonts w:cs="Arial"/>
                <w:b/>
                <w:bCs/>
                <w:sz w:val="24"/>
                <w:szCs w:val="24"/>
              </w:rPr>
              <w:t>Capítulo</w:t>
            </w:r>
          </w:p>
        </w:tc>
        <w:tc>
          <w:tcPr>
            <w:tcW w:w="3340" w:type="dxa"/>
            <w:tcBorders>
              <w:top w:val="single" w:sz="12" w:space="0" w:color="000000"/>
              <w:bottom w:val="single" w:sz="6" w:space="0" w:color="000000"/>
            </w:tcBorders>
            <w:shd w:val="clear" w:color="auto" w:fill="auto"/>
          </w:tcPr>
          <w:p w:rsidR="002A2626" w:rsidRPr="002A2626" w:rsidRDefault="002A2626" w:rsidP="002A2626">
            <w:pPr>
              <w:spacing w:before="120" w:line="300" w:lineRule="auto"/>
              <w:rPr>
                <w:rFonts w:cs="Arial"/>
                <w:b/>
                <w:sz w:val="24"/>
                <w:szCs w:val="24"/>
              </w:rPr>
            </w:pPr>
            <w:r w:rsidRPr="002A2626">
              <w:rPr>
                <w:rFonts w:cs="Arial"/>
                <w:b/>
                <w:sz w:val="24"/>
                <w:szCs w:val="24"/>
              </w:rPr>
              <w:t>Descripción</w:t>
            </w:r>
          </w:p>
        </w:tc>
        <w:tc>
          <w:tcPr>
            <w:tcW w:w="1582" w:type="dxa"/>
            <w:tcBorders>
              <w:top w:val="single" w:sz="12" w:space="0" w:color="000000"/>
              <w:bottom w:val="single" w:sz="6" w:space="0" w:color="000000"/>
            </w:tcBorders>
            <w:shd w:val="clear" w:color="auto" w:fill="auto"/>
          </w:tcPr>
          <w:p w:rsidR="002A2626" w:rsidRPr="002A2626" w:rsidRDefault="002A2626" w:rsidP="002A2626">
            <w:pPr>
              <w:spacing w:before="120" w:line="300" w:lineRule="auto"/>
              <w:rPr>
                <w:rFonts w:cs="Arial"/>
                <w:b/>
                <w:sz w:val="24"/>
                <w:szCs w:val="24"/>
              </w:rPr>
            </w:pPr>
            <w:r w:rsidRPr="002A2626">
              <w:rPr>
                <w:rFonts w:cs="Arial"/>
                <w:b/>
                <w:sz w:val="24"/>
                <w:szCs w:val="24"/>
              </w:rPr>
              <w:t>2019</w:t>
            </w:r>
          </w:p>
        </w:tc>
        <w:tc>
          <w:tcPr>
            <w:tcW w:w="1582" w:type="dxa"/>
            <w:tcBorders>
              <w:top w:val="single" w:sz="12" w:space="0" w:color="000000"/>
              <w:bottom w:val="single" w:sz="6" w:space="0" w:color="000000"/>
            </w:tcBorders>
          </w:tcPr>
          <w:p w:rsidR="002A2626" w:rsidRPr="002A2626" w:rsidRDefault="002A2626" w:rsidP="002A2626">
            <w:pPr>
              <w:spacing w:before="120" w:line="300" w:lineRule="auto"/>
              <w:rPr>
                <w:rFonts w:cs="Arial"/>
                <w:b/>
                <w:sz w:val="24"/>
                <w:szCs w:val="24"/>
              </w:rPr>
            </w:pPr>
            <w:r w:rsidRPr="002A2626">
              <w:rPr>
                <w:rFonts w:cs="Arial"/>
                <w:b/>
                <w:sz w:val="24"/>
                <w:szCs w:val="24"/>
              </w:rPr>
              <w:t>2018</w:t>
            </w:r>
          </w:p>
        </w:tc>
        <w:tc>
          <w:tcPr>
            <w:tcW w:w="1150" w:type="dxa"/>
            <w:tcBorders>
              <w:top w:val="single" w:sz="12" w:space="0" w:color="000000"/>
              <w:bottom w:val="single" w:sz="6" w:space="0" w:color="000000"/>
            </w:tcBorders>
            <w:shd w:val="clear" w:color="auto" w:fill="auto"/>
          </w:tcPr>
          <w:p w:rsidR="002A2626" w:rsidRPr="002A2626" w:rsidRDefault="002A2626" w:rsidP="002A2626">
            <w:pPr>
              <w:spacing w:before="120" w:line="300" w:lineRule="auto"/>
              <w:rPr>
                <w:rFonts w:cs="Arial"/>
                <w:b/>
                <w:sz w:val="24"/>
                <w:szCs w:val="24"/>
              </w:rPr>
            </w:pPr>
            <w:r w:rsidRPr="002A2626">
              <w:rPr>
                <w:rFonts w:cs="Arial"/>
                <w:b/>
                <w:sz w:val="24"/>
                <w:szCs w:val="24"/>
              </w:rPr>
              <w:t>Variación</w:t>
            </w:r>
          </w:p>
        </w:tc>
      </w:tr>
      <w:tr w:rsidR="002A2626" w:rsidRPr="002A2626" w:rsidTr="00853C79">
        <w:trPr>
          <w:trHeight w:val="510"/>
          <w:jc w:val="center"/>
        </w:trPr>
        <w:tc>
          <w:tcPr>
            <w:tcW w:w="993" w:type="dxa"/>
            <w:shd w:val="solid" w:color="C0C0C0" w:fill="FFFFFF"/>
          </w:tcPr>
          <w:p w:rsidR="002A2626" w:rsidRPr="002A2626" w:rsidRDefault="002A2626" w:rsidP="002A2626">
            <w:pPr>
              <w:spacing w:before="120" w:line="300" w:lineRule="auto"/>
              <w:ind w:left="142"/>
              <w:rPr>
                <w:rFonts w:cs="Arial"/>
                <w:b/>
                <w:bCs/>
                <w:sz w:val="24"/>
                <w:szCs w:val="24"/>
              </w:rPr>
            </w:pPr>
            <w:r w:rsidRPr="002A2626">
              <w:rPr>
                <w:rFonts w:cs="Arial"/>
                <w:b/>
                <w:bCs/>
                <w:sz w:val="24"/>
                <w:szCs w:val="24"/>
              </w:rPr>
              <w:t>I</w:t>
            </w:r>
          </w:p>
        </w:tc>
        <w:tc>
          <w:tcPr>
            <w:tcW w:w="3340" w:type="dxa"/>
          </w:tcPr>
          <w:p w:rsidR="002A2626" w:rsidRPr="002A2626" w:rsidRDefault="002A2626" w:rsidP="002A2626">
            <w:pPr>
              <w:spacing w:before="120" w:line="300" w:lineRule="auto"/>
              <w:rPr>
                <w:rFonts w:cs="Arial"/>
                <w:sz w:val="24"/>
                <w:szCs w:val="24"/>
              </w:rPr>
            </w:pPr>
            <w:r w:rsidRPr="002A2626">
              <w:rPr>
                <w:rFonts w:cs="Arial"/>
                <w:sz w:val="24"/>
                <w:szCs w:val="24"/>
              </w:rPr>
              <w:t>Gastos de personal</w:t>
            </w:r>
          </w:p>
        </w:tc>
        <w:tc>
          <w:tcPr>
            <w:tcW w:w="1582" w:type="dxa"/>
            <w:vAlign w:val="center"/>
          </w:tcPr>
          <w:p w:rsidR="002A2626" w:rsidRPr="002A2626" w:rsidRDefault="002A2626" w:rsidP="002A2626">
            <w:pPr>
              <w:rPr>
                <w:rFonts w:cs="Arial"/>
                <w:color w:val="000000"/>
                <w:sz w:val="24"/>
                <w:szCs w:val="24"/>
              </w:rPr>
            </w:pPr>
            <w:r w:rsidRPr="002A2626">
              <w:rPr>
                <w:rFonts w:cs="Arial"/>
                <w:color w:val="000000"/>
                <w:sz w:val="24"/>
                <w:szCs w:val="24"/>
              </w:rPr>
              <w:t>15.273.827,02</w:t>
            </w:r>
          </w:p>
        </w:tc>
        <w:tc>
          <w:tcPr>
            <w:tcW w:w="1582" w:type="dxa"/>
            <w:vAlign w:val="center"/>
          </w:tcPr>
          <w:p w:rsidR="002A2626" w:rsidRPr="002A2626" w:rsidRDefault="002A2626" w:rsidP="002A2626">
            <w:pPr>
              <w:rPr>
                <w:rFonts w:cs="Arial"/>
                <w:sz w:val="24"/>
                <w:szCs w:val="24"/>
              </w:rPr>
            </w:pPr>
            <w:r w:rsidRPr="002A2626">
              <w:rPr>
                <w:rFonts w:cs="Arial"/>
                <w:sz w:val="24"/>
                <w:szCs w:val="24"/>
              </w:rPr>
              <w:t>14.752.264,67</w:t>
            </w:r>
          </w:p>
        </w:tc>
        <w:tc>
          <w:tcPr>
            <w:tcW w:w="1150" w:type="dxa"/>
            <w:vAlign w:val="center"/>
          </w:tcPr>
          <w:p w:rsidR="002A2626" w:rsidRPr="002A2626" w:rsidRDefault="002A2626" w:rsidP="002A2626">
            <w:pPr>
              <w:rPr>
                <w:rFonts w:cs="Arial"/>
                <w:color w:val="000000"/>
                <w:sz w:val="24"/>
                <w:szCs w:val="24"/>
              </w:rPr>
            </w:pPr>
            <w:r w:rsidRPr="002A2626">
              <w:rPr>
                <w:rFonts w:cs="Arial"/>
                <w:color w:val="000000"/>
                <w:sz w:val="24"/>
                <w:szCs w:val="24"/>
              </w:rPr>
              <w:t>3,54%</w:t>
            </w:r>
          </w:p>
        </w:tc>
      </w:tr>
      <w:tr w:rsidR="002A2626" w:rsidRPr="002A2626" w:rsidTr="00853C79">
        <w:trPr>
          <w:trHeight w:val="510"/>
          <w:jc w:val="center"/>
        </w:trPr>
        <w:tc>
          <w:tcPr>
            <w:tcW w:w="993" w:type="dxa"/>
            <w:shd w:val="solid" w:color="C0C0C0" w:fill="FFFFFF"/>
          </w:tcPr>
          <w:p w:rsidR="002A2626" w:rsidRPr="002A2626" w:rsidRDefault="002A2626" w:rsidP="002A2626">
            <w:pPr>
              <w:spacing w:before="120" w:line="300" w:lineRule="auto"/>
              <w:ind w:left="142"/>
              <w:rPr>
                <w:rFonts w:cs="Arial"/>
                <w:b/>
                <w:bCs/>
                <w:sz w:val="24"/>
                <w:szCs w:val="24"/>
              </w:rPr>
            </w:pPr>
            <w:r w:rsidRPr="002A2626">
              <w:rPr>
                <w:rFonts w:cs="Arial"/>
                <w:b/>
                <w:bCs/>
                <w:sz w:val="24"/>
                <w:szCs w:val="24"/>
              </w:rPr>
              <w:t>II</w:t>
            </w:r>
          </w:p>
        </w:tc>
        <w:tc>
          <w:tcPr>
            <w:tcW w:w="3340" w:type="dxa"/>
          </w:tcPr>
          <w:p w:rsidR="002A2626" w:rsidRPr="002A2626" w:rsidRDefault="002A2626" w:rsidP="002A2626">
            <w:pPr>
              <w:spacing w:before="120" w:line="300" w:lineRule="auto"/>
              <w:rPr>
                <w:rFonts w:cs="Arial"/>
                <w:sz w:val="24"/>
                <w:szCs w:val="24"/>
              </w:rPr>
            </w:pPr>
            <w:r w:rsidRPr="002A2626">
              <w:rPr>
                <w:rFonts w:cs="Arial"/>
                <w:sz w:val="24"/>
                <w:szCs w:val="24"/>
              </w:rPr>
              <w:t>Gastos bienes corrientes, servicios</w:t>
            </w:r>
          </w:p>
        </w:tc>
        <w:tc>
          <w:tcPr>
            <w:tcW w:w="1582" w:type="dxa"/>
            <w:vAlign w:val="center"/>
          </w:tcPr>
          <w:p w:rsidR="002A2626" w:rsidRPr="002A2626" w:rsidRDefault="002A2626" w:rsidP="002A2626">
            <w:pPr>
              <w:rPr>
                <w:rFonts w:cs="Arial"/>
                <w:color w:val="000000"/>
                <w:sz w:val="24"/>
                <w:szCs w:val="24"/>
              </w:rPr>
            </w:pPr>
            <w:r w:rsidRPr="002A2626">
              <w:rPr>
                <w:rFonts w:cs="Arial"/>
                <w:color w:val="000000"/>
                <w:sz w:val="24"/>
                <w:szCs w:val="24"/>
              </w:rPr>
              <w:t>1.580.768,50</w:t>
            </w:r>
          </w:p>
        </w:tc>
        <w:tc>
          <w:tcPr>
            <w:tcW w:w="1582" w:type="dxa"/>
            <w:vAlign w:val="center"/>
          </w:tcPr>
          <w:p w:rsidR="002A2626" w:rsidRPr="002A2626" w:rsidRDefault="002A2626" w:rsidP="002A2626">
            <w:pPr>
              <w:rPr>
                <w:rFonts w:cs="Arial"/>
                <w:sz w:val="24"/>
                <w:szCs w:val="24"/>
              </w:rPr>
            </w:pPr>
            <w:r w:rsidRPr="002A2626">
              <w:rPr>
                <w:rFonts w:cs="Arial"/>
                <w:sz w:val="24"/>
                <w:szCs w:val="24"/>
              </w:rPr>
              <w:t>1.983.045,00</w:t>
            </w:r>
          </w:p>
        </w:tc>
        <w:tc>
          <w:tcPr>
            <w:tcW w:w="1150" w:type="dxa"/>
            <w:vAlign w:val="center"/>
          </w:tcPr>
          <w:p w:rsidR="002A2626" w:rsidRPr="002A2626" w:rsidRDefault="002A2626" w:rsidP="002A2626">
            <w:pPr>
              <w:rPr>
                <w:rFonts w:cs="Arial"/>
                <w:color w:val="000000"/>
                <w:sz w:val="24"/>
                <w:szCs w:val="24"/>
              </w:rPr>
            </w:pPr>
            <w:r w:rsidRPr="002A2626">
              <w:rPr>
                <w:rFonts w:cs="Arial"/>
                <w:color w:val="000000"/>
                <w:sz w:val="24"/>
                <w:szCs w:val="24"/>
              </w:rPr>
              <w:t>-20,29%</w:t>
            </w:r>
          </w:p>
        </w:tc>
      </w:tr>
      <w:tr w:rsidR="002A2626" w:rsidRPr="002A2626" w:rsidTr="00853C79">
        <w:trPr>
          <w:trHeight w:val="510"/>
          <w:jc w:val="center"/>
        </w:trPr>
        <w:tc>
          <w:tcPr>
            <w:tcW w:w="993" w:type="dxa"/>
            <w:shd w:val="solid" w:color="C0C0C0" w:fill="FFFFFF"/>
          </w:tcPr>
          <w:p w:rsidR="002A2626" w:rsidRPr="002A2626" w:rsidRDefault="002A2626" w:rsidP="002A2626">
            <w:pPr>
              <w:spacing w:before="120" w:line="300" w:lineRule="auto"/>
              <w:ind w:left="142"/>
              <w:rPr>
                <w:rFonts w:cs="Arial"/>
                <w:b/>
                <w:bCs/>
                <w:sz w:val="24"/>
                <w:szCs w:val="24"/>
              </w:rPr>
            </w:pPr>
            <w:r w:rsidRPr="002A2626">
              <w:rPr>
                <w:rFonts w:cs="Arial"/>
                <w:b/>
                <w:bCs/>
                <w:sz w:val="24"/>
                <w:szCs w:val="24"/>
              </w:rPr>
              <w:t>III</w:t>
            </w:r>
          </w:p>
        </w:tc>
        <w:tc>
          <w:tcPr>
            <w:tcW w:w="3340" w:type="dxa"/>
          </w:tcPr>
          <w:p w:rsidR="002A2626" w:rsidRPr="002A2626" w:rsidRDefault="002A2626" w:rsidP="002A2626">
            <w:pPr>
              <w:spacing w:before="120" w:line="300" w:lineRule="auto"/>
              <w:rPr>
                <w:rFonts w:cs="Arial"/>
                <w:sz w:val="24"/>
                <w:szCs w:val="24"/>
              </w:rPr>
            </w:pPr>
            <w:r w:rsidRPr="002A2626">
              <w:rPr>
                <w:rFonts w:cs="Arial"/>
                <w:sz w:val="24"/>
                <w:szCs w:val="24"/>
              </w:rPr>
              <w:t>Gastos financieros</w:t>
            </w:r>
          </w:p>
        </w:tc>
        <w:tc>
          <w:tcPr>
            <w:tcW w:w="1582" w:type="dxa"/>
            <w:vAlign w:val="center"/>
          </w:tcPr>
          <w:p w:rsidR="002A2626" w:rsidRPr="002A2626" w:rsidRDefault="002A2626" w:rsidP="002A2626">
            <w:pPr>
              <w:rPr>
                <w:rFonts w:cs="Arial"/>
                <w:color w:val="000000"/>
                <w:sz w:val="24"/>
                <w:szCs w:val="24"/>
              </w:rPr>
            </w:pPr>
            <w:r w:rsidRPr="002A2626">
              <w:rPr>
                <w:rFonts w:cs="Arial"/>
                <w:color w:val="000000"/>
                <w:sz w:val="24"/>
                <w:szCs w:val="24"/>
              </w:rPr>
              <w:t>1.500,00</w:t>
            </w:r>
          </w:p>
        </w:tc>
        <w:tc>
          <w:tcPr>
            <w:tcW w:w="1582" w:type="dxa"/>
            <w:vAlign w:val="center"/>
          </w:tcPr>
          <w:p w:rsidR="002A2626" w:rsidRPr="002A2626" w:rsidRDefault="002A2626" w:rsidP="002A2626">
            <w:pPr>
              <w:rPr>
                <w:rFonts w:cs="Arial"/>
                <w:sz w:val="24"/>
                <w:szCs w:val="24"/>
              </w:rPr>
            </w:pPr>
            <w:r w:rsidRPr="002A2626">
              <w:rPr>
                <w:rFonts w:cs="Arial"/>
                <w:sz w:val="24"/>
                <w:szCs w:val="24"/>
              </w:rPr>
              <w:t>1.560,00</w:t>
            </w:r>
          </w:p>
        </w:tc>
        <w:tc>
          <w:tcPr>
            <w:tcW w:w="1150" w:type="dxa"/>
            <w:vAlign w:val="center"/>
          </w:tcPr>
          <w:p w:rsidR="002A2626" w:rsidRPr="002A2626" w:rsidRDefault="002A2626" w:rsidP="002A2626">
            <w:pPr>
              <w:rPr>
                <w:rFonts w:cs="Arial"/>
                <w:color w:val="000000"/>
                <w:sz w:val="24"/>
                <w:szCs w:val="24"/>
              </w:rPr>
            </w:pPr>
            <w:r w:rsidRPr="002A2626">
              <w:rPr>
                <w:rFonts w:cs="Arial"/>
                <w:color w:val="000000"/>
                <w:sz w:val="24"/>
                <w:szCs w:val="24"/>
              </w:rPr>
              <w:t>-3,85%</w:t>
            </w:r>
          </w:p>
        </w:tc>
      </w:tr>
      <w:tr w:rsidR="002A2626" w:rsidRPr="002A2626" w:rsidTr="00853C79">
        <w:trPr>
          <w:trHeight w:val="510"/>
          <w:jc w:val="center"/>
        </w:trPr>
        <w:tc>
          <w:tcPr>
            <w:tcW w:w="993" w:type="dxa"/>
            <w:shd w:val="solid" w:color="C0C0C0" w:fill="FFFFFF"/>
          </w:tcPr>
          <w:p w:rsidR="002A2626" w:rsidRPr="002A2626" w:rsidRDefault="002A2626" w:rsidP="002A2626">
            <w:pPr>
              <w:spacing w:before="120" w:line="300" w:lineRule="auto"/>
              <w:ind w:left="142"/>
              <w:rPr>
                <w:rFonts w:cs="Arial"/>
                <w:b/>
                <w:bCs/>
                <w:sz w:val="24"/>
                <w:szCs w:val="24"/>
              </w:rPr>
            </w:pPr>
            <w:r w:rsidRPr="002A2626">
              <w:rPr>
                <w:rFonts w:cs="Arial"/>
                <w:b/>
                <w:bCs/>
                <w:sz w:val="24"/>
                <w:szCs w:val="24"/>
              </w:rPr>
              <w:t>IV</w:t>
            </w:r>
          </w:p>
        </w:tc>
        <w:tc>
          <w:tcPr>
            <w:tcW w:w="3340" w:type="dxa"/>
          </w:tcPr>
          <w:p w:rsidR="002A2626" w:rsidRPr="002A2626" w:rsidRDefault="002A2626" w:rsidP="002A2626">
            <w:pPr>
              <w:spacing w:before="120" w:line="300" w:lineRule="auto"/>
              <w:rPr>
                <w:rFonts w:cs="Arial"/>
                <w:sz w:val="24"/>
                <w:szCs w:val="24"/>
              </w:rPr>
            </w:pPr>
            <w:r w:rsidRPr="002A2626">
              <w:rPr>
                <w:rFonts w:cs="Arial"/>
                <w:sz w:val="24"/>
                <w:szCs w:val="24"/>
              </w:rPr>
              <w:t>Transferencias corrientes</w:t>
            </w:r>
          </w:p>
        </w:tc>
        <w:tc>
          <w:tcPr>
            <w:tcW w:w="1582" w:type="dxa"/>
            <w:vAlign w:val="center"/>
          </w:tcPr>
          <w:p w:rsidR="002A2626" w:rsidRPr="002A2626" w:rsidRDefault="002A2626" w:rsidP="002A2626">
            <w:pPr>
              <w:rPr>
                <w:rFonts w:cs="Arial"/>
                <w:color w:val="000000"/>
                <w:sz w:val="24"/>
                <w:szCs w:val="24"/>
              </w:rPr>
            </w:pPr>
            <w:r w:rsidRPr="002A2626">
              <w:rPr>
                <w:rFonts w:cs="Arial"/>
                <w:color w:val="000000"/>
                <w:sz w:val="24"/>
                <w:szCs w:val="24"/>
              </w:rPr>
              <w:t>242.000,00</w:t>
            </w:r>
          </w:p>
        </w:tc>
        <w:tc>
          <w:tcPr>
            <w:tcW w:w="1582" w:type="dxa"/>
            <w:vAlign w:val="center"/>
          </w:tcPr>
          <w:p w:rsidR="002A2626" w:rsidRPr="002A2626" w:rsidRDefault="002A2626" w:rsidP="002A2626">
            <w:pPr>
              <w:rPr>
                <w:rFonts w:cs="Arial"/>
                <w:sz w:val="24"/>
                <w:szCs w:val="24"/>
              </w:rPr>
            </w:pPr>
            <w:r w:rsidRPr="002A2626">
              <w:rPr>
                <w:rFonts w:cs="Arial"/>
                <w:sz w:val="24"/>
                <w:szCs w:val="24"/>
              </w:rPr>
              <w:t>242.000,00</w:t>
            </w:r>
          </w:p>
        </w:tc>
        <w:tc>
          <w:tcPr>
            <w:tcW w:w="1150" w:type="dxa"/>
            <w:vAlign w:val="center"/>
          </w:tcPr>
          <w:p w:rsidR="002A2626" w:rsidRPr="002A2626" w:rsidRDefault="002A2626" w:rsidP="002A2626">
            <w:pPr>
              <w:rPr>
                <w:rFonts w:cs="Arial"/>
                <w:color w:val="000000"/>
                <w:sz w:val="24"/>
                <w:szCs w:val="24"/>
              </w:rPr>
            </w:pPr>
            <w:r w:rsidRPr="002A2626">
              <w:rPr>
                <w:rFonts w:cs="Arial"/>
                <w:color w:val="000000"/>
                <w:sz w:val="24"/>
                <w:szCs w:val="24"/>
              </w:rPr>
              <w:t>0,00%</w:t>
            </w:r>
          </w:p>
        </w:tc>
      </w:tr>
      <w:tr w:rsidR="002A2626" w:rsidRPr="002A2626" w:rsidTr="00853C79">
        <w:trPr>
          <w:trHeight w:val="510"/>
          <w:jc w:val="center"/>
        </w:trPr>
        <w:tc>
          <w:tcPr>
            <w:tcW w:w="993" w:type="dxa"/>
            <w:shd w:val="solid" w:color="C0C0C0" w:fill="FFFFFF"/>
          </w:tcPr>
          <w:p w:rsidR="002A2626" w:rsidRPr="002A2626" w:rsidRDefault="002A2626" w:rsidP="002A2626">
            <w:pPr>
              <w:spacing w:before="120" w:line="300" w:lineRule="auto"/>
              <w:ind w:left="142"/>
              <w:rPr>
                <w:rFonts w:cs="Arial"/>
                <w:b/>
                <w:bCs/>
                <w:sz w:val="24"/>
                <w:szCs w:val="24"/>
              </w:rPr>
            </w:pPr>
            <w:r w:rsidRPr="002A2626">
              <w:rPr>
                <w:rFonts w:cs="Arial"/>
                <w:b/>
                <w:bCs/>
                <w:sz w:val="24"/>
                <w:szCs w:val="24"/>
              </w:rPr>
              <w:t>VI</w:t>
            </w:r>
          </w:p>
        </w:tc>
        <w:tc>
          <w:tcPr>
            <w:tcW w:w="3340" w:type="dxa"/>
          </w:tcPr>
          <w:p w:rsidR="002A2626" w:rsidRPr="002A2626" w:rsidRDefault="002A2626" w:rsidP="002A2626">
            <w:pPr>
              <w:spacing w:before="120" w:line="300" w:lineRule="auto"/>
              <w:rPr>
                <w:rFonts w:cs="Arial"/>
                <w:sz w:val="24"/>
                <w:szCs w:val="24"/>
              </w:rPr>
            </w:pPr>
            <w:r w:rsidRPr="002A2626">
              <w:rPr>
                <w:rFonts w:cs="Arial"/>
                <w:sz w:val="24"/>
                <w:szCs w:val="24"/>
              </w:rPr>
              <w:t>Inversiones Reales</w:t>
            </w:r>
          </w:p>
        </w:tc>
        <w:tc>
          <w:tcPr>
            <w:tcW w:w="1582" w:type="dxa"/>
            <w:vAlign w:val="center"/>
          </w:tcPr>
          <w:p w:rsidR="002A2626" w:rsidRPr="002A2626" w:rsidRDefault="002A2626" w:rsidP="002A2626">
            <w:pPr>
              <w:rPr>
                <w:rFonts w:cs="Arial"/>
                <w:color w:val="000000"/>
                <w:sz w:val="24"/>
                <w:szCs w:val="24"/>
              </w:rPr>
            </w:pPr>
            <w:r w:rsidRPr="002A2626">
              <w:rPr>
                <w:rFonts w:cs="Arial"/>
                <w:color w:val="000000"/>
                <w:sz w:val="24"/>
                <w:szCs w:val="24"/>
              </w:rPr>
              <w:t>1.928.284,42</w:t>
            </w:r>
          </w:p>
        </w:tc>
        <w:tc>
          <w:tcPr>
            <w:tcW w:w="1582" w:type="dxa"/>
            <w:vAlign w:val="center"/>
          </w:tcPr>
          <w:p w:rsidR="002A2626" w:rsidRPr="002A2626" w:rsidRDefault="002A2626" w:rsidP="002A2626">
            <w:pPr>
              <w:rPr>
                <w:rFonts w:cs="Arial"/>
                <w:sz w:val="24"/>
                <w:szCs w:val="24"/>
              </w:rPr>
            </w:pPr>
            <w:r w:rsidRPr="002A2626">
              <w:rPr>
                <w:rFonts w:cs="Arial"/>
                <w:sz w:val="24"/>
                <w:szCs w:val="24"/>
              </w:rPr>
              <w:t>3.634.885,00</w:t>
            </w:r>
          </w:p>
        </w:tc>
        <w:tc>
          <w:tcPr>
            <w:tcW w:w="1150" w:type="dxa"/>
            <w:vAlign w:val="center"/>
          </w:tcPr>
          <w:p w:rsidR="002A2626" w:rsidRPr="002A2626" w:rsidRDefault="002A2626" w:rsidP="002A2626">
            <w:pPr>
              <w:rPr>
                <w:rFonts w:cs="Arial"/>
                <w:color w:val="000000"/>
                <w:sz w:val="24"/>
                <w:szCs w:val="24"/>
              </w:rPr>
            </w:pPr>
            <w:r w:rsidRPr="002A2626">
              <w:rPr>
                <w:rFonts w:cs="Arial"/>
                <w:color w:val="000000"/>
                <w:sz w:val="24"/>
                <w:szCs w:val="24"/>
              </w:rPr>
              <w:t>-46,95%</w:t>
            </w:r>
          </w:p>
        </w:tc>
      </w:tr>
      <w:tr w:rsidR="002A2626" w:rsidRPr="002A2626" w:rsidTr="00853C79">
        <w:trPr>
          <w:trHeight w:val="510"/>
          <w:jc w:val="center"/>
        </w:trPr>
        <w:tc>
          <w:tcPr>
            <w:tcW w:w="993" w:type="dxa"/>
            <w:shd w:val="solid" w:color="C0C0C0" w:fill="FFFFFF"/>
          </w:tcPr>
          <w:p w:rsidR="002A2626" w:rsidRPr="002A2626" w:rsidRDefault="002A2626" w:rsidP="002A2626">
            <w:pPr>
              <w:spacing w:before="120" w:line="300" w:lineRule="auto"/>
              <w:ind w:left="142"/>
              <w:rPr>
                <w:rFonts w:cs="Arial"/>
                <w:b/>
                <w:bCs/>
                <w:sz w:val="24"/>
                <w:szCs w:val="24"/>
              </w:rPr>
            </w:pPr>
            <w:r w:rsidRPr="002A2626">
              <w:rPr>
                <w:rFonts w:cs="Arial"/>
                <w:b/>
                <w:bCs/>
                <w:sz w:val="24"/>
                <w:szCs w:val="24"/>
              </w:rPr>
              <w:lastRenderedPageBreak/>
              <w:t>VII</w:t>
            </w:r>
          </w:p>
        </w:tc>
        <w:tc>
          <w:tcPr>
            <w:tcW w:w="3340" w:type="dxa"/>
          </w:tcPr>
          <w:p w:rsidR="002A2626" w:rsidRPr="002A2626" w:rsidRDefault="002A2626" w:rsidP="002A2626">
            <w:pPr>
              <w:spacing w:before="120" w:line="300" w:lineRule="auto"/>
              <w:rPr>
                <w:rFonts w:cs="Arial"/>
                <w:sz w:val="24"/>
                <w:szCs w:val="24"/>
              </w:rPr>
            </w:pPr>
            <w:r w:rsidRPr="002A2626">
              <w:rPr>
                <w:rFonts w:cs="Arial"/>
                <w:sz w:val="24"/>
                <w:szCs w:val="24"/>
              </w:rPr>
              <w:t>Transferencias de capital</w:t>
            </w:r>
          </w:p>
        </w:tc>
        <w:tc>
          <w:tcPr>
            <w:tcW w:w="1582" w:type="dxa"/>
            <w:vAlign w:val="center"/>
          </w:tcPr>
          <w:p w:rsidR="002A2626" w:rsidRPr="002A2626" w:rsidRDefault="002A2626" w:rsidP="002A2626">
            <w:pPr>
              <w:rPr>
                <w:rFonts w:cs="Arial"/>
                <w:color w:val="000000"/>
                <w:sz w:val="24"/>
                <w:szCs w:val="24"/>
              </w:rPr>
            </w:pPr>
            <w:r w:rsidRPr="002A2626">
              <w:rPr>
                <w:rFonts w:cs="Arial"/>
                <w:color w:val="000000"/>
                <w:sz w:val="24"/>
                <w:szCs w:val="24"/>
              </w:rPr>
              <w:t>120.000,00</w:t>
            </w:r>
          </w:p>
        </w:tc>
        <w:tc>
          <w:tcPr>
            <w:tcW w:w="1582" w:type="dxa"/>
            <w:vAlign w:val="center"/>
          </w:tcPr>
          <w:p w:rsidR="002A2626" w:rsidRPr="002A2626" w:rsidRDefault="002A2626" w:rsidP="002A2626">
            <w:pPr>
              <w:rPr>
                <w:rFonts w:cs="Arial"/>
                <w:sz w:val="24"/>
                <w:szCs w:val="24"/>
              </w:rPr>
            </w:pPr>
            <w:r w:rsidRPr="002A2626">
              <w:rPr>
                <w:rFonts w:cs="Arial"/>
                <w:sz w:val="24"/>
                <w:szCs w:val="24"/>
              </w:rPr>
              <w:t>120.000,00</w:t>
            </w:r>
          </w:p>
        </w:tc>
        <w:tc>
          <w:tcPr>
            <w:tcW w:w="1150" w:type="dxa"/>
            <w:vAlign w:val="center"/>
          </w:tcPr>
          <w:p w:rsidR="002A2626" w:rsidRPr="002A2626" w:rsidRDefault="002A2626" w:rsidP="002A2626">
            <w:pPr>
              <w:rPr>
                <w:rFonts w:cs="Arial"/>
                <w:color w:val="000000"/>
                <w:sz w:val="24"/>
                <w:szCs w:val="24"/>
              </w:rPr>
            </w:pPr>
            <w:r w:rsidRPr="002A2626">
              <w:rPr>
                <w:rFonts w:cs="Arial"/>
                <w:color w:val="000000"/>
                <w:sz w:val="24"/>
                <w:szCs w:val="24"/>
              </w:rPr>
              <w:t>0,00%</w:t>
            </w:r>
          </w:p>
        </w:tc>
      </w:tr>
      <w:tr w:rsidR="002A2626" w:rsidRPr="002A2626" w:rsidTr="00853C79">
        <w:trPr>
          <w:trHeight w:val="510"/>
          <w:jc w:val="center"/>
        </w:trPr>
        <w:tc>
          <w:tcPr>
            <w:tcW w:w="993" w:type="dxa"/>
            <w:shd w:val="solid" w:color="C0C0C0" w:fill="FFFFFF"/>
          </w:tcPr>
          <w:p w:rsidR="002A2626" w:rsidRPr="002A2626" w:rsidRDefault="002A2626" w:rsidP="002A2626">
            <w:pPr>
              <w:spacing w:before="120" w:line="300" w:lineRule="auto"/>
              <w:ind w:left="142"/>
              <w:rPr>
                <w:rFonts w:cs="Arial"/>
                <w:b/>
                <w:bCs/>
                <w:sz w:val="24"/>
                <w:szCs w:val="24"/>
              </w:rPr>
            </w:pPr>
            <w:r w:rsidRPr="002A2626">
              <w:rPr>
                <w:rFonts w:cs="Arial"/>
                <w:b/>
                <w:bCs/>
                <w:sz w:val="24"/>
                <w:szCs w:val="24"/>
              </w:rPr>
              <w:t>VIII</w:t>
            </w:r>
          </w:p>
        </w:tc>
        <w:tc>
          <w:tcPr>
            <w:tcW w:w="3340" w:type="dxa"/>
          </w:tcPr>
          <w:p w:rsidR="002A2626" w:rsidRPr="002A2626" w:rsidRDefault="002A2626" w:rsidP="002A2626">
            <w:pPr>
              <w:spacing w:before="120" w:line="300" w:lineRule="auto"/>
              <w:rPr>
                <w:rFonts w:cs="Arial"/>
                <w:sz w:val="24"/>
                <w:szCs w:val="24"/>
              </w:rPr>
            </w:pPr>
            <w:r w:rsidRPr="002A2626">
              <w:rPr>
                <w:rFonts w:cs="Arial"/>
                <w:sz w:val="24"/>
                <w:szCs w:val="24"/>
              </w:rPr>
              <w:t>Activos financieros</w:t>
            </w:r>
          </w:p>
        </w:tc>
        <w:tc>
          <w:tcPr>
            <w:tcW w:w="1582" w:type="dxa"/>
            <w:vAlign w:val="center"/>
          </w:tcPr>
          <w:p w:rsidR="002A2626" w:rsidRPr="002A2626" w:rsidRDefault="002A2626" w:rsidP="002A2626">
            <w:pPr>
              <w:rPr>
                <w:rFonts w:cs="Arial"/>
                <w:color w:val="000000"/>
                <w:sz w:val="24"/>
                <w:szCs w:val="24"/>
              </w:rPr>
            </w:pPr>
            <w:r w:rsidRPr="002A2626">
              <w:rPr>
                <w:rFonts w:cs="Arial"/>
                <w:color w:val="000000"/>
                <w:sz w:val="24"/>
                <w:szCs w:val="24"/>
              </w:rPr>
              <w:t>110.000,00</w:t>
            </w:r>
          </w:p>
        </w:tc>
        <w:tc>
          <w:tcPr>
            <w:tcW w:w="1582" w:type="dxa"/>
            <w:vAlign w:val="center"/>
          </w:tcPr>
          <w:p w:rsidR="002A2626" w:rsidRPr="002A2626" w:rsidRDefault="002A2626" w:rsidP="002A2626">
            <w:pPr>
              <w:rPr>
                <w:rFonts w:cs="Arial"/>
                <w:sz w:val="24"/>
                <w:szCs w:val="24"/>
              </w:rPr>
            </w:pPr>
            <w:r w:rsidRPr="002A2626">
              <w:rPr>
                <w:rFonts w:cs="Arial"/>
                <w:sz w:val="24"/>
                <w:szCs w:val="24"/>
              </w:rPr>
              <w:t>110.000,00</w:t>
            </w:r>
          </w:p>
        </w:tc>
        <w:tc>
          <w:tcPr>
            <w:tcW w:w="1150" w:type="dxa"/>
            <w:vAlign w:val="center"/>
          </w:tcPr>
          <w:p w:rsidR="002A2626" w:rsidRPr="002A2626" w:rsidRDefault="002A2626" w:rsidP="002A2626">
            <w:pPr>
              <w:rPr>
                <w:rFonts w:cs="Arial"/>
                <w:color w:val="000000"/>
                <w:sz w:val="24"/>
                <w:szCs w:val="24"/>
              </w:rPr>
            </w:pPr>
            <w:r w:rsidRPr="002A2626">
              <w:rPr>
                <w:rFonts w:cs="Arial"/>
                <w:color w:val="000000"/>
                <w:sz w:val="24"/>
                <w:szCs w:val="24"/>
              </w:rPr>
              <w:t>0,00%</w:t>
            </w:r>
          </w:p>
        </w:tc>
      </w:tr>
      <w:tr w:rsidR="002A2626" w:rsidRPr="002A2626" w:rsidTr="00853C79">
        <w:trPr>
          <w:trHeight w:val="510"/>
          <w:jc w:val="center"/>
        </w:trPr>
        <w:tc>
          <w:tcPr>
            <w:tcW w:w="993" w:type="dxa"/>
            <w:tcBorders>
              <w:top w:val="single" w:sz="6" w:space="0" w:color="000000"/>
              <w:bottom w:val="single" w:sz="12" w:space="0" w:color="000000"/>
            </w:tcBorders>
            <w:shd w:val="solid" w:color="C0C0C0" w:fill="FFFFFF"/>
          </w:tcPr>
          <w:p w:rsidR="002A2626" w:rsidRPr="002A2626" w:rsidRDefault="002A2626" w:rsidP="002A2626">
            <w:pPr>
              <w:spacing w:before="120" w:line="300" w:lineRule="auto"/>
              <w:rPr>
                <w:rFonts w:cs="Arial"/>
                <w:b/>
                <w:bCs/>
                <w:sz w:val="24"/>
                <w:szCs w:val="24"/>
              </w:rPr>
            </w:pPr>
          </w:p>
        </w:tc>
        <w:tc>
          <w:tcPr>
            <w:tcW w:w="3340" w:type="dxa"/>
            <w:tcBorders>
              <w:top w:val="single" w:sz="6" w:space="0" w:color="000000"/>
              <w:bottom w:val="single" w:sz="12" w:space="0" w:color="000000"/>
            </w:tcBorders>
          </w:tcPr>
          <w:p w:rsidR="002A2626" w:rsidRPr="002A2626" w:rsidRDefault="002A2626" w:rsidP="002A2626">
            <w:pPr>
              <w:spacing w:before="120" w:line="300" w:lineRule="auto"/>
              <w:rPr>
                <w:rFonts w:cs="Arial"/>
                <w:b/>
                <w:sz w:val="24"/>
                <w:szCs w:val="24"/>
              </w:rPr>
            </w:pPr>
            <w:r w:rsidRPr="002A2626">
              <w:rPr>
                <w:rFonts w:cs="Arial"/>
                <w:b/>
                <w:sz w:val="24"/>
                <w:szCs w:val="24"/>
              </w:rPr>
              <w:t>TOTAL ESTADO GASTOS</w:t>
            </w:r>
          </w:p>
        </w:tc>
        <w:tc>
          <w:tcPr>
            <w:tcW w:w="1582" w:type="dxa"/>
            <w:tcBorders>
              <w:top w:val="single" w:sz="6" w:space="0" w:color="000000"/>
              <w:bottom w:val="single" w:sz="12" w:space="0" w:color="000000"/>
            </w:tcBorders>
            <w:vAlign w:val="center"/>
          </w:tcPr>
          <w:p w:rsidR="002A2626" w:rsidRPr="002A2626" w:rsidRDefault="002A2626" w:rsidP="002A2626">
            <w:pPr>
              <w:rPr>
                <w:rFonts w:cs="Arial"/>
                <w:b/>
                <w:bCs/>
                <w:color w:val="000000"/>
                <w:sz w:val="24"/>
                <w:szCs w:val="24"/>
              </w:rPr>
            </w:pPr>
            <w:r w:rsidRPr="002A2626">
              <w:rPr>
                <w:rFonts w:cs="Arial"/>
                <w:b/>
                <w:bCs/>
                <w:color w:val="000000"/>
                <w:sz w:val="24"/>
                <w:szCs w:val="24"/>
              </w:rPr>
              <w:t>19.256.379,94</w:t>
            </w:r>
          </w:p>
        </w:tc>
        <w:tc>
          <w:tcPr>
            <w:tcW w:w="1582" w:type="dxa"/>
            <w:tcBorders>
              <w:top w:val="single" w:sz="6" w:space="0" w:color="000000"/>
              <w:bottom w:val="single" w:sz="12" w:space="0" w:color="000000"/>
            </w:tcBorders>
            <w:vAlign w:val="center"/>
          </w:tcPr>
          <w:p w:rsidR="002A2626" w:rsidRPr="002A2626" w:rsidRDefault="002A2626" w:rsidP="002A2626">
            <w:pPr>
              <w:rPr>
                <w:rFonts w:cs="Arial"/>
                <w:b/>
                <w:bCs/>
                <w:sz w:val="24"/>
                <w:szCs w:val="24"/>
              </w:rPr>
            </w:pPr>
            <w:r w:rsidRPr="002A2626">
              <w:rPr>
                <w:rFonts w:cs="Arial"/>
                <w:b/>
                <w:bCs/>
                <w:sz w:val="24"/>
                <w:szCs w:val="24"/>
              </w:rPr>
              <w:t>20.843.754,67</w:t>
            </w:r>
          </w:p>
        </w:tc>
        <w:tc>
          <w:tcPr>
            <w:tcW w:w="1150" w:type="dxa"/>
            <w:tcBorders>
              <w:top w:val="single" w:sz="6" w:space="0" w:color="000000"/>
              <w:bottom w:val="single" w:sz="12" w:space="0" w:color="000000"/>
            </w:tcBorders>
            <w:vAlign w:val="center"/>
          </w:tcPr>
          <w:p w:rsidR="002A2626" w:rsidRPr="002A2626" w:rsidRDefault="002A2626" w:rsidP="002A2626">
            <w:pPr>
              <w:rPr>
                <w:rFonts w:cs="Arial"/>
                <w:b/>
                <w:bCs/>
                <w:color w:val="000000"/>
                <w:sz w:val="24"/>
                <w:szCs w:val="24"/>
              </w:rPr>
            </w:pPr>
            <w:r w:rsidRPr="002A2626">
              <w:rPr>
                <w:rFonts w:cs="Arial"/>
                <w:b/>
                <w:bCs/>
                <w:color w:val="000000"/>
                <w:sz w:val="24"/>
                <w:szCs w:val="24"/>
              </w:rPr>
              <w:t>-7,62%</w:t>
            </w:r>
          </w:p>
        </w:tc>
      </w:tr>
    </w:tbl>
    <w:p w:rsidR="002A2626" w:rsidRPr="002A2626" w:rsidRDefault="002A2626" w:rsidP="002A2626">
      <w:pPr>
        <w:spacing w:before="120" w:line="300" w:lineRule="auto"/>
        <w:ind w:firstLine="709"/>
        <w:rPr>
          <w:rFonts w:cs="Arial"/>
          <w:bCs/>
          <w:color w:val="FF0000"/>
          <w:sz w:val="24"/>
          <w:szCs w:val="24"/>
        </w:rPr>
      </w:pPr>
    </w:p>
    <w:p w:rsidR="002A2626" w:rsidRPr="002A2626" w:rsidRDefault="002A2626" w:rsidP="002A2626">
      <w:pPr>
        <w:spacing w:before="120" w:line="300" w:lineRule="auto"/>
        <w:ind w:firstLine="709"/>
        <w:rPr>
          <w:rFonts w:cs="Arial"/>
          <w:bCs/>
          <w:sz w:val="24"/>
          <w:szCs w:val="24"/>
        </w:rPr>
      </w:pPr>
      <w:r w:rsidRPr="002A2626">
        <w:rPr>
          <w:rFonts w:cs="Arial"/>
          <w:bCs/>
          <w:sz w:val="24"/>
          <w:szCs w:val="24"/>
        </w:rPr>
        <w:t xml:space="preserve">El Presupuesto de gastos para el ejercicio 2019 experimenta una disminución del 7,62% con respecto al ejercicio anterior, que asciende a 1.587.374,73 euros menos. </w:t>
      </w:r>
    </w:p>
    <w:p w:rsidR="002A2626" w:rsidRPr="002A2626" w:rsidRDefault="002A2626" w:rsidP="002A2626">
      <w:pPr>
        <w:spacing w:before="120" w:line="300" w:lineRule="auto"/>
        <w:ind w:firstLine="709"/>
        <w:rPr>
          <w:rFonts w:cs="Arial"/>
          <w:bCs/>
          <w:sz w:val="24"/>
          <w:szCs w:val="24"/>
        </w:rPr>
      </w:pPr>
    </w:p>
    <w:p w:rsidR="002A2626" w:rsidRPr="002A2626" w:rsidRDefault="002A2626" w:rsidP="002A2626">
      <w:pPr>
        <w:pStyle w:val="Prrafodelista"/>
        <w:numPr>
          <w:ilvl w:val="0"/>
          <w:numId w:val="7"/>
        </w:numPr>
        <w:autoSpaceDE w:val="0"/>
        <w:autoSpaceDN w:val="0"/>
        <w:spacing w:before="120" w:after="0" w:line="300" w:lineRule="auto"/>
        <w:jc w:val="both"/>
        <w:rPr>
          <w:rFonts w:ascii="Arial" w:hAnsi="Arial" w:cs="Arial"/>
          <w:b/>
          <w:bCs/>
          <w:i/>
          <w:sz w:val="24"/>
          <w:szCs w:val="24"/>
        </w:rPr>
      </w:pPr>
      <w:r w:rsidRPr="002A2626">
        <w:rPr>
          <w:rFonts w:ascii="Arial" w:hAnsi="Arial" w:cs="Arial"/>
          <w:b/>
          <w:bCs/>
          <w:i/>
          <w:sz w:val="24"/>
          <w:szCs w:val="24"/>
        </w:rPr>
        <w:t>Capítulo I</w:t>
      </w:r>
      <w:r w:rsidRPr="002A2626">
        <w:rPr>
          <w:rFonts w:ascii="Arial" w:hAnsi="Arial" w:cs="Arial"/>
          <w:bCs/>
          <w:i/>
          <w:sz w:val="24"/>
          <w:szCs w:val="24"/>
        </w:rPr>
        <w:t xml:space="preserve">, </w:t>
      </w:r>
      <w:r w:rsidRPr="002A2626">
        <w:rPr>
          <w:rFonts w:ascii="Arial" w:hAnsi="Arial" w:cs="Arial"/>
          <w:b/>
          <w:bCs/>
          <w:i/>
          <w:sz w:val="24"/>
          <w:szCs w:val="24"/>
        </w:rPr>
        <w:t>Gastos de personal.</w:t>
      </w:r>
    </w:p>
    <w:p w:rsidR="002A2626" w:rsidRPr="002A2626" w:rsidRDefault="002A2626" w:rsidP="002A2626">
      <w:pPr>
        <w:spacing w:before="120" w:line="300" w:lineRule="auto"/>
        <w:ind w:firstLine="709"/>
        <w:rPr>
          <w:rFonts w:cs="Arial"/>
          <w:bCs/>
          <w:sz w:val="24"/>
          <w:szCs w:val="24"/>
        </w:rPr>
      </w:pPr>
      <w:r w:rsidRPr="002A2626">
        <w:rPr>
          <w:rFonts w:cs="Arial"/>
          <w:bCs/>
          <w:sz w:val="24"/>
          <w:szCs w:val="24"/>
        </w:rPr>
        <w:t xml:space="preserve">El capítulo I del Consorcio de Bomberos se cifra en 15.273.827,02 euros, lo que supone el </w:t>
      </w:r>
      <w:r w:rsidRPr="002A2626">
        <w:rPr>
          <w:rFonts w:cs="Arial"/>
          <w:b/>
          <w:bCs/>
          <w:sz w:val="24"/>
          <w:szCs w:val="24"/>
        </w:rPr>
        <w:t>79,32%</w:t>
      </w:r>
      <w:r w:rsidRPr="002A2626">
        <w:rPr>
          <w:rFonts w:cs="Arial"/>
          <w:bCs/>
          <w:sz w:val="24"/>
          <w:szCs w:val="24"/>
        </w:rPr>
        <w:t xml:space="preserve"> del total del presupuesto. El detalle de este capítulo a nivel de artículo es el siguiente: </w:t>
      </w:r>
    </w:p>
    <w:p w:rsidR="002A2626" w:rsidRPr="002A2626" w:rsidRDefault="002A2626" w:rsidP="002A2626">
      <w:pPr>
        <w:spacing w:line="300" w:lineRule="auto"/>
        <w:ind w:firstLine="709"/>
        <w:rPr>
          <w:rFonts w:cs="Arial"/>
          <w:bCs/>
          <w:color w:val="FF0000"/>
          <w:sz w:val="24"/>
          <w:szCs w:val="24"/>
        </w:rPr>
      </w:pPr>
    </w:p>
    <w:tbl>
      <w:tblPr>
        <w:tblStyle w:val="Tablaconcuadrcula"/>
        <w:tblW w:w="8614" w:type="dxa"/>
        <w:tblLook w:val="04A0"/>
      </w:tblPr>
      <w:tblGrid>
        <w:gridCol w:w="4012"/>
        <w:gridCol w:w="1751"/>
        <w:gridCol w:w="1751"/>
        <w:gridCol w:w="1100"/>
      </w:tblGrid>
      <w:tr w:rsidR="002A2626" w:rsidRPr="002A2626" w:rsidTr="00853C79">
        <w:tc>
          <w:tcPr>
            <w:tcW w:w="4219" w:type="dxa"/>
          </w:tcPr>
          <w:p w:rsidR="002A2626" w:rsidRPr="002A2626" w:rsidRDefault="002A2626" w:rsidP="002A2626">
            <w:pPr>
              <w:spacing w:line="300" w:lineRule="auto"/>
              <w:rPr>
                <w:rFonts w:cs="Arial"/>
                <w:b/>
                <w:bCs/>
                <w:sz w:val="24"/>
                <w:szCs w:val="24"/>
              </w:rPr>
            </w:pPr>
            <w:r w:rsidRPr="002A2626">
              <w:rPr>
                <w:rFonts w:cs="Arial"/>
                <w:b/>
                <w:bCs/>
                <w:sz w:val="24"/>
                <w:szCs w:val="24"/>
              </w:rPr>
              <w:t>Clasificación económica por artículos</w:t>
            </w:r>
          </w:p>
        </w:tc>
        <w:tc>
          <w:tcPr>
            <w:tcW w:w="1560" w:type="dxa"/>
            <w:vAlign w:val="center"/>
          </w:tcPr>
          <w:p w:rsidR="002A2626" w:rsidRPr="002A2626" w:rsidRDefault="002A2626" w:rsidP="002A2626">
            <w:pPr>
              <w:rPr>
                <w:rFonts w:cs="Arial"/>
                <w:b/>
                <w:bCs/>
                <w:sz w:val="24"/>
                <w:szCs w:val="24"/>
              </w:rPr>
            </w:pPr>
            <w:r w:rsidRPr="002A2626">
              <w:rPr>
                <w:rFonts w:cs="Arial"/>
                <w:b/>
                <w:bCs/>
                <w:sz w:val="24"/>
                <w:szCs w:val="24"/>
              </w:rPr>
              <w:t>2019</w:t>
            </w:r>
          </w:p>
        </w:tc>
        <w:tc>
          <w:tcPr>
            <w:tcW w:w="1729" w:type="dxa"/>
            <w:vAlign w:val="center"/>
          </w:tcPr>
          <w:p w:rsidR="002A2626" w:rsidRPr="002A2626" w:rsidRDefault="002A2626" w:rsidP="002A2626">
            <w:pPr>
              <w:rPr>
                <w:rFonts w:cs="Arial"/>
                <w:b/>
                <w:bCs/>
                <w:sz w:val="24"/>
                <w:szCs w:val="24"/>
              </w:rPr>
            </w:pPr>
            <w:r w:rsidRPr="002A2626">
              <w:rPr>
                <w:rFonts w:cs="Arial"/>
                <w:b/>
                <w:bCs/>
                <w:sz w:val="24"/>
                <w:szCs w:val="24"/>
              </w:rPr>
              <w:t>2018</w:t>
            </w:r>
          </w:p>
        </w:tc>
        <w:tc>
          <w:tcPr>
            <w:tcW w:w="1106" w:type="dxa"/>
          </w:tcPr>
          <w:p w:rsidR="002A2626" w:rsidRPr="002A2626" w:rsidRDefault="002A2626" w:rsidP="002A2626">
            <w:pPr>
              <w:spacing w:line="300" w:lineRule="auto"/>
              <w:rPr>
                <w:rFonts w:cs="Arial"/>
                <w:b/>
                <w:bCs/>
                <w:sz w:val="24"/>
                <w:szCs w:val="24"/>
              </w:rPr>
            </w:pPr>
            <w:r w:rsidRPr="002A2626">
              <w:rPr>
                <w:rFonts w:cs="Arial"/>
                <w:b/>
                <w:bCs/>
                <w:sz w:val="24"/>
                <w:szCs w:val="24"/>
              </w:rPr>
              <w:t>%</w:t>
            </w:r>
          </w:p>
        </w:tc>
      </w:tr>
      <w:tr w:rsidR="002A2626" w:rsidRPr="002A2626" w:rsidTr="00853C79">
        <w:tc>
          <w:tcPr>
            <w:tcW w:w="4219" w:type="dxa"/>
            <w:vAlign w:val="center"/>
          </w:tcPr>
          <w:p w:rsidR="002A2626" w:rsidRPr="002A2626" w:rsidRDefault="002A2626" w:rsidP="002A2626">
            <w:pPr>
              <w:spacing w:line="300" w:lineRule="auto"/>
              <w:rPr>
                <w:rFonts w:cs="Arial"/>
                <w:bCs/>
                <w:sz w:val="24"/>
                <w:szCs w:val="24"/>
              </w:rPr>
            </w:pPr>
            <w:r w:rsidRPr="002A2626">
              <w:rPr>
                <w:rFonts w:cs="Arial"/>
                <w:bCs/>
                <w:sz w:val="24"/>
                <w:szCs w:val="24"/>
              </w:rPr>
              <w:t>10 Órganos de Gobierno y personal directivo</w:t>
            </w:r>
          </w:p>
        </w:tc>
        <w:tc>
          <w:tcPr>
            <w:tcW w:w="1560" w:type="dxa"/>
            <w:vAlign w:val="center"/>
          </w:tcPr>
          <w:p w:rsidR="002A2626" w:rsidRPr="002A2626" w:rsidRDefault="002A2626" w:rsidP="002A2626">
            <w:pPr>
              <w:rPr>
                <w:rFonts w:cs="Arial"/>
                <w:color w:val="000000"/>
                <w:sz w:val="24"/>
                <w:szCs w:val="24"/>
              </w:rPr>
            </w:pPr>
            <w:r w:rsidRPr="002A2626">
              <w:rPr>
                <w:rFonts w:cs="Arial"/>
                <w:color w:val="000000"/>
                <w:sz w:val="24"/>
                <w:szCs w:val="24"/>
              </w:rPr>
              <w:t>70.000,00</w:t>
            </w:r>
          </w:p>
        </w:tc>
        <w:tc>
          <w:tcPr>
            <w:tcW w:w="1729" w:type="dxa"/>
            <w:vAlign w:val="center"/>
          </w:tcPr>
          <w:p w:rsidR="002A2626" w:rsidRPr="002A2626" w:rsidRDefault="002A2626" w:rsidP="002A2626">
            <w:pPr>
              <w:rPr>
                <w:rFonts w:cs="Arial"/>
                <w:color w:val="000000"/>
                <w:sz w:val="24"/>
                <w:szCs w:val="24"/>
              </w:rPr>
            </w:pPr>
            <w:r w:rsidRPr="002A2626">
              <w:rPr>
                <w:rFonts w:cs="Arial"/>
                <w:color w:val="000000"/>
                <w:sz w:val="24"/>
                <w:szCs w:val="24"/>
              </w:rPr>
              <w:t>70.000,00</w:t>
            </w:r>
          </w:p>
        </w:tc>
        <w:tc>
          <w:tcPr>
            <w:tcW w:w="1106" w:type="dxa"/>
            <w:vAlign w:val="center"/>
          </w:tcPr>
          <w:p w:rsidR="002A2626" w:rsidRPr="002A2626" w:rsidRDefault="002A2626" w:rsidP="002A2626">
            <w:pPr>
              <w:rPr>
                <w:rFonts w:cs="Arial"/>
                <w:color w:val="000000"/>
                <w:sz w:val="24"/>
                <w:szCs w:val="24"/>
              </w:rPr>
            </w:pPr>
            <w:r w:rsidRPr="002A2626">
              <w:rPr>
                <w:rFonts w:cs="Arial"/>
                <w:color w:val="000000"/>
                <w:sz w:val="24"/>
                <w:szCs w:val="24"/>
              </w:rPr>
              <w:t>0,00%</w:t>
            </w:r>
          </w:p>
        </w:tc>
      </w:tr>
      <w:tr w:rsidR="002A2626" w:rsidRPr="002A2626" w:rsidTr="00853C79">
        <w:tc>
          <w:tcPr>
            <w:tcW w:w="4219" w:type="dxa"/>
            <w:vAlign w:val="center"/>
          </w:tcPr>
          <w:p w:rsidR="002A2626" w:rsidRPr="002A2626" w:rsidRDefault="002A2626" w:rsidP="002A2626">
            <w:pPr>
              <w:spacing w:line="300" w:lineRule="auto"/>
              <w:rPr>
                <w:rFonts w:cs="Arial"/>
                <w:bCs/>
                <w:sz w:val="24"/>
                <w:szCs w:val="24"/>
              </w:rPr>
            </w:pPr>
            <w:r w:rsidRPr="002A2626">
              <w:rPr>
                <w:rFonts w:cs="Arial"/>
                <w:bCs/>
                <w:sz w:val="24"/>
                <w:szCs w:val="24"/>
              </w:rPr>
              <w:t>12 Retribuciones Básicas funcionarios</w:t>
            </w:r>
          </w:p>
        </w:tc>
        <w:tc>
          <w:tcPr>
            <w:tcW w:w="1560" w:type="dxa"/>
            <w:vAlign w:val="center"/>
          </w:tcPr>
          <w:p w:rsidR="002A2626" w:rsidRPr="002A2626" w:rsidRDefault="002A2626" w:rsidP="002A2626">
            <w:pPr>
              <w:rPr>
                <w:rFonts w:cs="Arial"/>
                <w:color w:val="000000"/>
                <w:sz w:val="24"/>
                <w:szCs w:val="24"/>
              </w:rPr>
            </w:pPr>
            <w:r w:rsidRPr="002A2626">
              <w:rPr>
                <w:rFonts w:cs="Arial"/>
                <w:color w:val="000000"/>
                <w:sz w:val="24"/>
                <w:szCs w:val="24"/>
              </w:rPr>
              <w:t>9.131.982,19</w:t>
            </w:r>
          </w:p>
        </w:tc>
        <w:tc>
          <w:tcPr>
            <w:tcW w:w="1729" w:type="dxa"/>
            <w:vAlign w:val="center"/>
          </w:tcPr>
          <w:p w:rsidR="002A2626" w:rsidRPr="002A2626" w:rsidRDefault="002A2626" w:rsidP="002A2626">
            <w:pPr>
              <w:rPr>
                <w:rFonts w:cs="Arial"/>
                <w:color w:val="000000"/>
                <w:sz w:val="24"/>
                <w:szCs w:val="24"/>
              </w:rPr>
            </w:pPr>
            <w:r w:rsidRPr="002A2626">
              <w:rPr>
                <w:rFonts w:cs="Arial"/>
                <w:color w:val="000000"/>
                <w:sz w:val="24"/>
                <w:szCs w:val="24"/>
              </w:rPr>
              <w:t>8.375.090,75</w:t>
            </w:r>
          </w:p>
        </w:tc>
        <w:tc>
          <w:tcPr>
            <w:tcW w:w="1106" w:type="dxa"/>
            <w:vAlign w:val="center"/>
          </w:tcPr>
          <w:p w:rsidR="002A2626" w:rsidRPr="002A2626" w:rsidRDefault="002A2626" w:rsidP="002A2626">
            <w:pPr>
              <w:rPr>
                <w:rFonts w:cs="Arial"/>
                <w:color w:val="000000"/>
                <w:sz w:val="24"/>
                <w:szCs w:val="24"/>
              </w:rPr>
            </w:pPr>
            <w:r w:rsidRPr="002A2626">
              <w:rPr>
                <w:rFonts w:cs="Arial"/>
                <w:color w:val="000000"/>
                <w:sz w:val="24"/>
                <w:szCs w:val="24"/>
              </w:rPr>
              <w:t>9,04%</w:t>
            </w:r>
          </w:p>
        </w:tc>
      </w:tr>
      <w:tr w:rsidR="002A2626" w:rsidRPr="002A2626" w:rsidTr="00853C79">
        <w:tc>
          <w:tcPr>
            <w:tcW w:w="4219" w:type="dxa"/>
            <w:vAlign w:val="center"/>
          </w:tcPr>
          <w:p w:rsidR="002A2626" w:rsidRPr="002A2626" w:rsidRDefault="002A2626" w:rsidP="002A2626">
            <w:pPr>
              <w:spacing w:line="300" w:lineRule="auto"/>
              <w:rPr>
                <w:rFonts w:cs="Arial"/>
                <w:bCs/>
                <w:sz w:val="24"/>
                <w:szCs w:val="24"/>
              </w:rPr>
            </w:pPr>
            <w:r w:rsidRPr="002A2626">
              <w:rPr>
                <w:rFonts w:cs="Arial"/>
                <w:bCs/>
                <w:sz w:val="24"/>
                <w:szCs w:val="24"/>
              </w:rPr>
              <w:t>13 Personal Laboral</w:t>
            </w:r>
            <w:bookmarkStart w:id="0" w:name="_GoBack"/>
            <w:bookmarkEnd w:id="0"/>
          </w:p>
        </w:tc>
        <w:tc>
          <w:tcPr>
            <w:tcW w:w="1560" w:type="dxa"/>
            <w:vAlign w:val="center"/>
          </w:tcPr>
          <w:p w:rsidR="002A2626" w:rsidRPr="002A2626" w:rsidRDefault="002A2626" w:rsidP="002A2626">
            <w:pPr>
              <w:rPr>
                <w:rFonts w:cs="Arial"/>
                <w:color w:val="000000"/>
                <w:sz w:val="24"/>
                <w:szCs w:val="24"/>
              </w:rPr>
            </w:pPr>
            <w:r w:rsidRPr="002A2626">
              <w:rPr>
                <w:rFonts w:cs="Arial"/>
                <w:color w:val="000000"/>
                <w:sz w:val="24"/>
                <w:szCs w:val="24"/>
              </w:rPr>
              <w:t>647.431,95</w:t>
            </w:r>
          </w:p>
        </w:tc>
        <w:tc>
          <w:tcPr>
            <w:tcW w:w="1729" w:type="dxa"/>
            <w:vAlign w:val="center"/>
          </w:tcPr>
          <w:p w:rsidR="002A2626" w:rsidRPr="002A2626" w:rsidRDefault="002A2626" w:rsidP="002A2626">
            <w:pPr>
              <w:rPr>
                <w:rFonts w:cs="Arial"/>
                <w:color w:val="000000"/>
                <w:sz w:val="24"/>
                <w:szCs w:val="24"/>
              </w:rPr>
            </w:pPr>
            <w:r w:rsidRPr="002A2626">
              <w:rPr>
                <w:rFonts w:cs="Arial"/>
                <w:color w:val="000000"/>
                <w:sz w:val="24"/>
                <w:szCs w:val="24"/>
              </w:rPr>
              <w:t>652.773,46</w:t>
            </w:r>
          </w:p>
        </w:tc>
        <w:tc>
          <w:tcPr>
            <w:tcW w:w="1106" w:type="dxa"/>
            <w:vAlign w:val="center"/>
          </w:tcPr>
          <w:p w:rsidR="002A2626" w:rsidRPr="002A2626" w:rsidRDefault="002A2626" w:rsidP="002A2626">
            <w:pPr>
              <w:rPr>
                <w:rFonts w:cs="Arial"/>
                <w:color w:val="000000"/>
                <w:sz w:val="24"/>
                <w:szCs w:val="24"/>
              </w:rPr>
            </w:pPr>
            <w:r w:rsidRPr="002A2626">
              <w:rPr>
                <w:rFonts w:cs="Arial"/>
                <w:color w:val="000000"/>
                <w:sz w:val="24"/>
                <w:szCs w:val="24"/>
              </w:rPr>
              <w:t>-0,82%</w:t>
            </w:r>
          </w:p>
        </w:tc>
      </w:tr>
      <w:tr w:rsidR="002A2626" w:rsidRPr="002A2626" w:rsidTr="00853C79">
        <w:tc>
          <w:tcPr>
            <w:tcW w:w="4219" w:type="dxa"/>
            <w:vAlign w:val="center"/>
          </w:tcPr>
          <w:p w:rsidR="002A2626" w:rsidRPr="002A2626" w:rsidRDefault="002A2626" w:rsidP="002A2626">
            <w:pPr>
              <w:spacing w:line="300" w:lineRule="auto"/>
              <w:rPr>
                <w:rFonts w:cs="Arial"/>
                <w:bCs/>
                <w:sz w:val="24"/>
                <w:szCs w:val="24"/>
              </w:rPr>
            </w:pPr>
            <w:r w:rsidRPr="002A2626">
              <w:rPr>
                <w:rFonts w:cs="Arial"/>
                <w:bCs/>
                <w:sz w:val="24"/>
                <w:szCs w:val="24"/>
              </w:rPr>
              <w:t>15 Incentivos al rendimiento</w:t>
            </w:r>
          </w:p>
        </w:tc>
        <w:tc>
          <w:tcPr>
            <w:tcW w:w="1560" w:type="dxa"/>
            <w:vAlign w:val="center"/>
          </w:tcPr>
          <w:p w:rsidR="002A2626" w:rsidRPr="002A2626" w:rsidRDefault="002A2626" w:rsidP="002A2626">
            <w:pPr>
              <w:rPr>
                <w:rFonts w:cs="Arial"/>
                <w:color w:val="000000"/>
                <w:sz w:val="24"/>
                <w:szCs w:val="24"/>
              </w:rPr>
            </w:pPr>
            <w:r w:rsidRPr="002A2626">
              <w:rPr>
                <w:rFonts w:cs="Arial"/>
                <w:color w:val="000000"/>
                <w:sz w:val="24"/>
                <w:szCs w:val="24"/>
              </w:rPr>
              <w:t>1.398.804,15</w:t>
            </w:r>
          </w:p>
        </w:tc>
        <w:tc>
          <w:tcPr>
            <w:tcW w:w="1729" w:type="dxa"/>
            <w:vAlign w:val="center"/>
          </w:tcPr>
          <w:p w:rsidR="002A2626" w:rsidRPr="002A2626" w:rsidRDefault="002A2626" w:rsidP="002A2626">
            <w:pPr>
              <w:rPr>
                <w:rFonts w:cs="Arial"/>
                <w:color w:val="000000"/>
                <w:sz w:val="24"/>
                <w:szCs w:val="24"/>
              </w:rPr>
            </w:pPr>
            <w:r w:rsidRPr="002A2626">
              <w:rPr>
                <w:rFonts w:cs="Arial"/>
                <w:color w:val="000000"/>
                <w:sz w:val="24"/>
                <w:szCs w:val="24"/>
              </w:rPr>
              <w:t>1.719.202,96</w:t>
            </w:r>
          </w:p>
        </w:tc>
        <w:tc>
          <w:tcPr>
            <w:tcW w:w="1106" w:type="dxa"/>
            <w:vAlign w:val="center"/>
          </w:tcPr>
          <w:p w:rsidR="002A2626" w:rsidRPr="002A2626" w:rsidRDefault="002A2626" w:rsidP="002A2626">
            <w:pPr>
              <w:rPr>
                <w:rFonts w:cs="Arial"/>
                <w:color w:val="000000"/>
                <w:sz w:val="24"/>
                <w:szCs w:val="24"/>
              </w:rPr>
            </w:pPr>
            <w:r w:rsidRPr="002A2626">
              <w:rPr>
                <w:rFonts w:cs="Arial"/>
                <w:color w:val="000000"/>
                <w:sz w:val="24"/>
                <w:szCs w:val="24"/>
              </w:rPr>
              <w:t>-18,64%</w:t>
            </w:r>
          </w:p>
        </w:tc>
      </w:tr>
      <w:tr w:rsidR="002A2626" w:rsidRPr="002A2626" w:rsidTr="00853C79">
        <w:tc>
          <w:tcPr>
            <w:tcW w:w="4219" w:type="dxa"/>
            <w:vAlign w:val="center"/>
          </w:tcPr>
          <w:p w:rsidR="002A2626" w:rsidRPr="002A2626" w:rsidRDefault="002A2626" w:rsidP="002A2626">
            <w:pPr>
              <w:spacing w:line="300" w:lineRule="auto"/>
              <w:rPr>
                <w:rFonts w:cs="Arial"/>
                <w:bCs/>
                <w:sz w:val="24"/>
                <w:szCs w:val="24"/>
              </w:rPr>
            </w:pPr>
            <w:r w:rsidRPr="002A2626">
              <w:rPr>
                <w:rFonts w:cs="Arial"/>
                <w:bCs/>
                <w:sz w:val="24"/>
                <w:szCs w:val="24"/>
              </w:rPr>
              <w:t>16 Cuotas, prestaciones y gastos sociales</w:t>
            </w:r>
          </w:p>
        </w:tc>
        <w:tc>
          <w:tcPr>
            <w:tcW w:w="1560" w:type="dxa"/>
            <w:vAlign w:val="center"/>
          </w:tcPr>
          <w:p w:rsidR="002A2626" w:rsidRPr="002A2626" w:rsidRDefault="002A2626" w:rsidP="002A2626">
            <w:pPr>
              <w:rPr>
                <w:rFonts w:cs="Arial"/>
                <w:color w:val="000000"/>
                <w:sz w:val="24"/>
                <w:szCs w:val="24"/>
              </w:rPr>
            </w:pPr>
            <w:r w:rsidRPr="002A2626">
              <w:rPr>
                <w:rFonts w:cs="Arial"/>
                <w:color w:val="000000"/>
                <w:sz w:val="24"/>
                <w:szCs w:val="24"/>
              </w:rPr>
              <w:t>4.025.608,73</w:t>
            </w:r>
          </w:p>
        </w:tc>
        <w:tc>
          <w:tcPr>
            <w:tcW w:w="1729" w:type="dxa"/>
            <w:vAlign w:val="center"/>
          </w:tcPr>
          <w:p w:rsidR="002A2626" w:rsidRPr="002A2626" w:rsidRDefault="002A2626" w:rsidP="002A2626">
            <w:pPr>
              <w:rPr>
                <w:rFonts w:cs="Arial"/>
                <w:color w:val="000000"/>
                <w:sz w:val="24"/>
                <w:szCs w:val="24"/>
              </w:rPr>
            </w:pPr>
            <w:r w:rsidRPr="002A2626">
              <w:rPr>
                <w:rFonts w:cs="Arial"/>
                <w:color w:val="000000"/>
                <w:sz w:val="24"/>
                <w:szCs w:val="24"/>
              </w:rPr>
              <w:t>3.935.197,51</w:t>
            </w:r>
          </w:p>
        </w:tc>
        <w:tc>
          <w:tcPr>
            <w:tcW w:w="1106" w:type="dxa"/>
            <w:vAlign w:val="center"/>
          </w:tcPr>
          <w:p w:rsidR="002A2626" w:rsidRPr="002A2626" w:rsidRDefault="002A2626" w:rsidP="002A2626">
            <w:pPr>
              <w:rPr>
                <w:rFonts w:cs="Arial"/>
                <w:color w:val="000000"/>
                <w:sz w:val="24"/>
                <w:szCs w:val="24"/>
              </w:rPr>
            </w:pPr>
            <w:r w:rsidRPr="002A2626">
              <w:rPr>
                <w:rFonts w:cs="Arial"/>
                <w:color w:val="000000"/>
                <w:sz w:val="24"/>
                <w:szCs w:val="24"/>
              </w:rPr>
              <w:t>2,30%</w:t>
            </w:r>
          </w:p>
        </w:tc>
      </w:tr>
      <w:tr w:rsidR="002A2626" w:rsidRPr="002A2626" w:rsidTr="00853C79">
        <w:tc>
          <w:tcPr>
            <w:tcW w:w="4219" w:type="dxa"/>
          </w:tcPr>
          <w:p w:rsidR="002A2626" w:rsidRPr="002A2626" w:rsidRDefault="002A2626" w:rsidP="002A2626">
            <w:pPr>
              <w:spacing w:line="300" w:lineRule="auto"/>
              <w:rPr>
                <w:rFonts w:cs="Arial"/>
                <w:b/>
                <w:bCs/>
                <w:sz w:val="24"/>
                <w:szCs w:val="24"/>
              </w:rPr>
            </w:pPr>
          </w:p>
        </w:tc>
        <w:tc>
          <w:tcPr>
            <w:tcW w:w="1560" w:type="dxa"/>
            <w:vAlign w:val="center"/>
          </w:tcPr>
          <w:p w:rsidR="002A2626" w:rsidRPr="002A2626" w:rsidRDefault="002A2626" w:rsidP="002A2626">
            <w:pPr>
              <w:rPr>
                <w:rFonts w:cs="Arial"/>
                <w:b/>
                <w:bCs/>
                <w:color w:val="000000"/>
                <w:sz w:val="24"/>
                <w:szCs w:val="24"/>
              </w:rPr>
            </w:pPr>
            <w:r w:rsidRPr="002A2626">
              <w:rPr>
                <w:rFonts w:cs="Arial"/>
                <w:b/>
                <w:bCs/>
                <w:color w:val="000000"/>
                <w:sz w:val="24"/>
                <w:szCs w:val="24"/>
              </w:rPr>
              <w:t>15.273.827,02</w:t>
            </w:r>
          </w:p>
        </w:tc>
        <w:tc>
          <w:tcPr>
            <w:tcW w:w="1729" w:type="dxa"/>
            <w:vAlign w:val="center"/>
          </w:tcPr>
          <w:p w:rsidR="002A2626" w:rsidRPr="002A2626" w:rsidRDefault="002A2626" w:rsidP="002A2626">
            <w:pPr>
              <w:rPr>
                <w:rFonts w:cs="Arial"/>
                <w:b/>
                <w:bCs/>
                <w:color w:val="000000"/>
                <w:sz w:val="24"/>
                <w:szCs w:val="24"/>
              </w:rPr>
            </w:pPr>
            <w:r w:rsidRPr="002A2626">
              <w:rPr>
                <w:rFonts w:cs="Arial"/>
                <w:b/>
                <w:bCs/>
                <w:color w:val="000000"/>
                <w:sz w:val="24"/>
                <w:szCs w:val="24"/>
              </w:rPr>
              <w:t>14.752.264,67</w:t>
            </w:r>
          </w:p>
        </w:tc>
        <w:tc>
          <w:tcPr>
            <w:tcW w:w="1106" w:type="dxa"/>
            <w:vAlign w:val="center"/>
          </w:tcPr>
          <w:p w:rsidR="002A2626" w:rsidRPr="002A2626" w:rsidRDefault="002A2626" w:rsidP="002A2626">
            <w:pPr>
              <w:rPr>
                <w:rFonts w:cs="Arial"/>
                <w:b/>
                <w:bCs/>
                <w:color w:val="000000"/>
                <w:sz w:val="24"/>
                <w:szCs w:val="24"/>
              </w:rPr>
            </w:pPr>
            <w:r w:rsidRPr="002A2626">
              <w:rPr>
                <w:rFonts w:cs="Arial"/>
                <w:b/>
                <w:bCs/>
                <w:color w:val="000000"/>
                <w:sz w:val="24"/>
                <w:szCs w:val="24"/>
              </w:rPr>
              <w:t>3,56%</w:t>
            </w:r>
          </w:p>
        </w:tc>
      </w:tr>
    </w:tbl>
    <w:p w:rsidR="002A2626" w:rsidRPr="002A2626" w:rsidRDefault="002A2626" w:rsidP="002A2626">
      <w:pPr>
        <w:spacing w:line="300" w:lineRule="auto"/>
        <w:ind w:firstLine="709"/>
        <w:rPr>
          <w:rFonts w:cs="Arial"/>
          <w:bCs/>
          <w:color w:val="FF0000"/>
          <w:sz w:val="24"/>
          <w:szCs w:val="24"/>
        </w:rPr>
      </w:pPr>
    </w:p>
    <w:p w:rsidR="002A2626" w:rsidRPr="002A2626" w:rsidRDefault="002A2626" w:rsidP="002A2626">
      <w:pPr>
        <w:spacing w:before="120" w:line="300" w:lineRule="auto"/>
        <w:ind w:firstLine="709"/>
        <w:rPr>
          <w:rFonts w:cs="Arial"/>
          <w:bCs/>
          <w:sz w:val="24"/>
          <w:szCs w:val="24"/>
        </w:rPr>
      </w:pPr>
      <w:r w:rsidRPr="002A2626">
        <w:rPr>
          <w:rFonts w:cs="Arial"/>
          <w:bCs/>
          <w:sz w:val="24"/>
          <w:szCs w:val="24"/>
        </w:rPr>
        <w:t>Los criterios por los que ha sido elaborado este capítulo I son los siguientes:</w:t>
      </w:r>
    </w:p>
    <w:p w:rsidR="002A2626" w:rsidRPr="002A2626" w:rsidRDefault="002A2626" w:rsidP="002A2626">
      <w:pPr>
        <w:spacing w:before="120" w:line="300" w:lineRule="auto"/>
        <w:ind w:firstLine="709"/>
        <w:rPr>
          <w:rFonts w:cs="Arial"/>
          <w:b/>
          <w:bCs/>
          <w:sz w:val="24"/>
          <w:szCs w:val="24"/>
        </w:rPr>
      </w:pPr>
    </w:p>
    <w:p w:rsidR="002A2626" w:rsidRPr="002A2626" w:rsidRDefault="002A2626" w:rsidP="002A2626">
      <w:pPr>
        <w:pStyle w:val="Prrafodelista"/>
        <w:numPr>
          <w:ilvl w:val="0"/>
          <w:numId w:val="38"/>
        </w:numPr>
        <w:tabs>
          <w:tab w:val="clear" w:pos="1429"/>
        </w:tabs>
        <w:autoSpaceDE w:val="0"/>
        <w:autoSpaceDN w:val="0"/>
        <w:spacing w:before="120" w:after="0" w:line="300" w:lineRule="auto"/>
        <w:ind w:left="993" w:hanging="425"/>
        <w:jc w:val="both"/>
        <w:rPr>
          <w:rFonts w:ascii="Arial" w:hAnsi="Arial" w:cs="Arial"/>
          <w:bCs/>
          <w:sz w:val="24"/>
          <w:szCs w:val="24"/>
        </w:rPr>
      </w:pPr>
      <w:r w:rsidRPr="002A2626">
        <w:rPr>
          <w:rFonts w:ascii="Arial" w:hAnsi="Arial" w:cs="Arial"/>
          <w:bCs/>
          <w:sz w:val="24"/>
          <w:szCs w:val="24"/>
        </w:rPr>
        <w:t xml:space="preserve">El importe de las retribuciones del personal se han incrementado un 1,5% de enero a junio de 2018, y en un 1,75% de julio a diciembre de </w:t>
      </w:r>
      <w:r w:rsidRPr="002A2626">
        <w:rPr>
          <w:rFonts w:ascii="Arial" w:hAnsi="Arial" w:cs="Arial"/>
          <w:bCs/>
          <w:sz w:val="24"/>
          <w:szCs w:val="24"/>
        </w:rPr>
        <w:lastRenderedPageBreak/>
        <w:t>2018, respecto a las vigentes a 31 de diciembre de 2017, en aplicación de lo previsto en el artículo 18 Dos de la Ley 6/2018, de 3 de julio, de Presupuestos Generales del Estado para 2018, y conforme a los criterios en materia de gasto de personal aplicables para el ejercicio 2019 aprobados por el Consejo de Gobierno Insular del Excmo. Cabildo Insular de Tenerife en sesión celebrada el día 10 de julio de 2018. Adicionalmente se ha incrementado en un 0.3% del importe de la masa salarial del ejercicio 2017. Todo ello, sin perjuicio de lo que pueda establecer la normativa estatal que se apruebe para el ejercicio 2019.</w:t>
      </w:r>
    </w:p>
    <w:p w:rsidR="002A2626" w:rsidRPr="002A2626" w:rsidRDefault="002A2626" w:rsidP="002A2626">
      <w:pPr>
        <w:numPr>
          <w:ilvl w:val="0"/>
          <w:numId w:val="7"/>
        </w:numPr>
        <w:autoSpaceDE w:val="0"/>
        <w:autoSpaceDN w:val="0"/>
        <w:spacing w:before="120" w:line="300" w:lineRule="auto"/>
        <w:ind w:left="993" w:hanging="425"/>
        <w:rPr>
          <w:rFonts w:cs="Arial"/>
          <w:bCs/>
          <w:sz w:val="24"/>
          <w:szCs w:val="24"/>
        </w:rPr>
      </w:pPr>
      <w:r w:rsidRPr="002A2626">
        <w:rPr>
          <w:rFonts w:cs="Arial"/>
          <w:bCs/>
          <w:sz w:val="24"/>
          <w:szCs w:val="24"/>
        </w:rPr>
        <w:t>Se dota presupuestariamente la cantidad de 165.000,00 euros en ejecución del Plan Específico de incentivos a la jubilación anticipada.</w:t>
      </w:r>
    </w:p>
    <w:p w:rsidR="002A2626" w:rsidRPr="002A2626" w:rsidRDefault="002A2626" w:rsidP="002A2626">
      <w:pPr>
        <w:numPr>
          <w:ilvl w:val="0"/>
          <w:numId w:val="7"/>
        </w:numPr>
        <w:autoSpaceDE w:val="0"/>
        <w:autoSpaceDN w:val="0"/>
        <w:spacing w:before="120" w:line="300" w:lineRule="auto"/>
        <w:ind w:left="993" w:hanging="425"/>
        <w:rPr>
          <w:rFonts w:cs="Arial"/>
          <w:bCs/>
          <w:sz w:val="24"/>
          <w:szCs w:val="24"/>
        </w:rPr>
      </w:pPr>
      <w:r w:rsidRPr="002A2626">
        <w:rPr>
          <w:rFonts w:cs="Arial"/>
          <w:bCs/>
          <w:sz w:val="24"/>
          <w:szCs w:val="24"/>
        </w:rPr>
        <w:t>La cantidad destinada a la formación del personal se mantiene respecto a la que estaba prevista para el ejercicio 2018.</w:t>
      </w:r>
    </w:p>
    <w:p w:rsidR="002A2626" w:rsidRPr="002A2626" w:rsidRDefault="002A2626" w:rsidP="002A2626">
      <w:pPr>
        <w:numPr>
          <w:ilvl w:val="0"/>
          <w:numId w:val="7"/>
        </w:numPr>
        <w:autoSpaceDE w:val="0"/>
        <w:autoSpaceDN w:val="0"/>
        <w:spacing w:before="120" w:line="300" w:lineRule="auto"/>
        <w:ind w:left="993" w:hanging="425"/>
        <w:rPr>
          <w:rFonts w:cs="Arial"/>
          <w:bCs/>
          <w:sz w:val="24"/>
          <w:szCs w:val="24"/>
        </w:rPr>
      </w:pPr>
      <w:r w:rsidRPr="002A2626">
        <w:rPr>
          <w:rFonts w:cs="Arial"/>
          <w:bCs/>
          <w:sz w:val="24"/>
          <w:szCs w:val="24"/>
        </w:rPr>
        <w:t>Las guardias de convenio del personal operativo sujeto a turno continúan siendo 10.</w:t>
      </w:r>
    </w:p>
    <w:p w:rsidR="002A2626" w:rsidRPr="002A2626" w:rsidRDefault="002A2626" w:rsidP="002A2626">
      <w:pPr>
        <w:numPr>
          <w:ilvl w:val="0"/>
          <w:numId w:val="7"/>
        </w:numPr>
        <w:autoSpaceDE w:val="0"/>
        <w:autoSpaceDN w:val="0"/>
        <w:spacing w:before="120" w:line="300" w:lineRule="auto"/>
        <w:ind w:left="993" w:hanging="425"/>
        <w:rPr>
          <w:rFonts w:cs="Arial"/>
          <w:bCs/>
          <w:sz w:val="24"/>
          <w:szCs w:val="24"/>
        </w:rPr>
      </w:pPr>
      <w:r w:rsidRPr="002A2626">
        <w:rPr>
          <w:rFonts w:cs="Arial"/>
          <w:bCs/>
          <w:sz w:val="24"/>
          <w:szCs w:val="24"/>
        </w:rPr>
        <w:t>Los compromisos derivados de los acuerdos y convenios de condiciones de trabajo suscritos entre esta Administración y el personal funcionario y laboral de la misma, salvo los que por Ley hayan sido modificados.</w:t>
      </w:r>
    </w:p>
    <w:p w:rsidR="002A2626" w:rsidRPr="002A2626" w:rsidRDefault="002A2626" w:rsidP="002A2626">
      <w:pPr>
        <w:numPr>
          <w:ilvl w:val="0"/>
          <w:numId w:val="7"/>
        </w:numPr>
        <w:autoSpaceDE w:val="0"/>
        <w:autoSpaceDN w:val="0"/>
        <w:spacing w:before="120" w:line="300" w:lineRule="auto"/>
        <w:rPr>
          <w:rFonts w:cs="Arial"/>
          <w:bCs/>
          <w:sz w:val="24"/>
          <w:szCs w:val="24"/>
        </w:rPr>
      </w:pPr>
      <w:r w:rsidRPr="002A2626">
        <w:rPr>
          <w:rFonts w:cs="Arial"/>
          <w:bCs/>
          <w:sz w:val="24"/>
          <w:szCs w:val="24"/>
        </w:rPr>
        <w:t>Compromisos adquiridos en el Acuerdo de fin de Huelga, aprobados por el Pleno del Consorcio el 28 de junio de 2017:</w:t>
      </w:r>
    </w:p>
    <w:p w:rsidR="002A2626" w:rsidRPr="002A2626" w:rsidRDefault="002A2626" w:rsidP="002A2626">
      <w:pPr>
        <w:pStyle w:val="Prrafodelista"/>
        <w:numPr>
          <w:ilvl w:val="3"/>
          <w:numId w:val="7"/>
        </w:numPr>
        <w:tabs>
          <w:tab w:val="clear" w:pos="3240"/>
        </w:tabs>
        <w:autoSpaceDE w:val="0"/>
        <w:autoSpaceDN w:val="0"/>
        <w:spacing w:before="120" w:after="0" w:line="300" w:lineRule="auto"/>
        <w:ind w:left="1985" w:hanging="284"/>
        <w:jc w:val="both"/>
        <w:rPr>
          <w:rFonts w:ascii="Arial" w:hAnsi="Arial" w:cs="Arial"/>
          <w:bCs/>
          <w:sz w:val="24"/>
          <w:szCs w:val="24"/>
        </w:rPr>
      </w:pPr>
      <w:r w:rsidRPr="002A2626">
        <w:rPr>
          <w:rFonts w:ascii="Arial" w:hAnsi="Arial" w:cs="Arial"/>
          <w:bCs/>
          <w:sz w:val="24"/>
          <w:szCs w:val="24"/>
        </w:rPr>
        <w:t>Dos guardias anuales de 24 horas para el personal operativo sujeto a turnos en concepto de “adaptación de jornada”.</w:t>
      </w:r>
    </w:p>
    <w:p w:rsidR="002A2626" w:rsidRPr="002A2626" w:rsidRDefault="002A2626" w:rsidP="002A2626">
      <w:pPr>
        <w:pStyle w:val="Prrafodelista"/>
        <w:numPr>
          <w:ilvl w:val="3"/>
          <w:numId w:val="7"/>
        </w:numPr>
        <w:tabs>
          <w:tab w:val="clear" w:pos="3240"/>
        </w:tabs>
        <w:autoSpaceDE w:val="0"/>
        <w:autoSpaceDN w:val="0"/>
        <w:spacing w:before="120" w:after="0" w:line="300" w:lineRule="auto"/>
        <w:ind w:left="1985" w:hanging="284"/>
        <w:jc w:val="both"/>
        <w:rPr>
          <w:rFonts w:ascii="Arial" w:hAnsi="Arial" w:cs="Arial"/>
          <w:bCs/>
          <w:sz w:val="24"/>
          <w:szCs w:val="24"/>
        </w:rPr>
      </w:pPr>
      <w:r w:rsidRPr="002A2626">
        <w:rPr>
          <w:rFonts w:ascii="Arial" w:hAnsi="Arial" w:cs="Arial"/>
          <w:bCs/>
          <w:sz w:val="24"/>
          <w:szCs w:val="24"/>
        </w:rPr>
        <w:t>Una guardia anual de 24 horas para el personal operativo sujeto a turnos en concepto de formación obligatoria.</w:t>
      </w:r>
    </w:p>
    <w:p w:rsidR="002A2626" w:rsidRPr="002A2626" w:rsidRDefault="002A2626" w:rsidP="002A2626">
      <w:pPr>
        <w:pStyle w:val="Prrafodelista"/>
        <w:numPr>
          <w:ilvl w:val="3"/>
          <w:numId w:val="7"/>
        </w:numPr>
        <w:tabs>
          <w:tab w:val="clear" w:pos="3240"/>
        </w:tabs>
        <w:autoSpaceDE w:val="0"/>
        <w:autoSpaceDN w:val="0"/>
        <w:spacing w:before="120" w:after="0" w:line="300" w:lineRule="auto"/>
        <w:ind w:left="1985" w:hanging="284"/>
        <w:jc w:val="both"/>
        <w:rPr>
          <w:rFonts w:ascii="Arial" w:hAnsi="Arial" w:cs="Arial"/>
          <w:bCs/>
          <w:sz w:val="24"/>
          <w:szCs w:val="24"/>
        </w:rPr>
      </w:pPr>
      <w:r w:rsidRPr="002A2626">
        <w:rPr>
          <w:rFonts w:ascii="Arial" w:hAnsi="Arial" w:cs="Arial"/>
          <w:bCs/>
          <w:sz w:val="24"/>
          <w:szCs w:val="24"/>
        </w:rPr>
        <w:t xml:space="preserve">Derivado de la apertura del Parque de </w:t>
      </w:r>
      <w:proofErr w:type="spellStart"/>
      <w:r w:rsidRPr="002A2626">
        <w:rPr>
          <w:rFonts w:ascii="Arial" w:hAnsi="Arial" w:cs="Arial"/>
          <w:bCs/>
          <w:sz w:val="24"/>
          <w:szCs w:val="24"/>
        </w:rPr>
        <w:t>Güímar</w:t>
      </w:r>
      <w:proofErr w:type="spellEnd"/>
      <w:r w:rsidRPr="002A2626">
        <w:rPr>
          <w:rFonts w:ascii="Arial" w:hAnsi="Arial" w:cs="Arial"/>
          <w:bCs/>
          <w:sz w:val="24"/>
          <w:szCs w:val="24"/>
        </w:rPr>
        <w:t xml:space="preserve">, se </w:t>
      </w:r>
      <w:proofErr w:type="spellStart"/>
      <w:r w:rsidRPr="002A2626">
        <w:rPr>
          <w:rFonts w:ascii="Arial" w:hAnsi="Arial" w:cs="Arial"/>
          <w:bCs/>
          <w:sz w:val="24"/>
          <w:szCs w:val="24"/>
        </w:rPr>
        <w:t>hanvuelto</w:t>
      </w:r>
      <w:proofErr w:type="spellEnd"/>
      <w:r w:rsidRPr="002A2626">
        <w:rPr>
          <w:rFonts w:ascii="Arial" w:hAnsi="Arial" w:cs="Arial"/>
          <w:bCs/>
          <w:sz w:val="24"/>
          <w:szCs w:val="24"/>
        </w:rPr>
        <w:t xml:space="preserve"> a dotar presupuestariamente 10 plazas de Bombero Especialista Conductor, ya previstas en el Presupuesto de 2018. Además se han creado y dotado 13 plazas nuevas de Bombero Especialista Conductor, todas a partir del 01.07.2019</w:t>
      </w:r>
    </w:p>
    <w:p w:rsidR="002A2626" w:rsidRPr="002A2626" w:rsidRDefault="002A2626" w:rsidP="002A2626">
      <w:pPr>
        <w:numPr>
          <w:ilvl w:val="0"/>
          <w:numId w:val="7"/>
        </w:numPr>
        <w:autoSpaceDE w:val="0"/>
        <w:autoSpaceDN w:val="0"/>
        <w:spacing w:before="120" w:line="300" w:lineRule="auto"/>
        <w:rPr>
          <w:rFonts w:cs="Arial"/>
          <w:bCs/>
          <w:sz w:val="24"/>
          <w:szCs w:val="24"/>
        </w:rPr>
      </w:pPr>
      <w:r w:rsidRPr="002A2626">
        <w:rPr>
          <w:rFonts w:cs="Arial"/>
          <w:bCs/>
          <w:sz w:val="24"/>
          <w:szCs w:val="24"/>
        </w:rPr>
        <w:lastRenderedPageBreak/>
        <w:t>Adicionalmente, se incrementa la plantilla de personal con las siguientes nuevas plazas:</w:t>
      </w:r>
    </w:p>
    <w:p w:rsidR="002A2626" w:rsidRPr="002A2626" w:rsidRDefault="002A2626" w:rsidP="002A2626">
      <w:pPr>
        <w:pStyle w:val="Prrafodelista"/>
        <w:numPr>
          <w:ilvl w:val="0"/>
          <w:numId w:val="42"/>
        </w:numPr>
        <w:autoSpaceDE w:val="0"/>
        <w:autoSpaceDN w:val="0"/>
        <w:spacing w:before="120" w:after="0" w:line="300" w:lineRule="auto"/>
        <w:ind w:left="1985" w:hanging="284"/>
        <w:jc w:val="both"/>
        <w:rPr>
          <w:rFonts w:ascii="Arial" w:hAnsi="Arial" w:cs="Arial"/>
          <w:bCs/>
          <w:sz w:val="24"/>
          <w:szCs w:val="24"/>
        </w:rPr>
      </w:pPr>
      <w:r w:rsidRPr="002A2626">
        <w:rPr>
          <w:rFonts w:ascii="Arial" w:hAnsi="Arial" w:cs="Arial"/>
          <w:bCs/>
          <w:sz w:val="24"/>
          <w:szCs w:val="24"/>
        </w:rPr>
        <w:t>1 plaza de Técnico de Administración General.</w:t>
      </w:r>
    </w:p>
    <w:p w:rsidR="002A2626" w:rsidRPr="002A2626" w:rsidRDefault="002A2626" w:rsidP="002A2626">
      <w:pPr>
        <w:pStyle w:val="Prrafodelista"/>
        <w:numPr>
          <w:ilvl w:val="0"/>
          <w:numId w:val="42"/>
        </w:numPr>
        <w:autoSpaceDE w:val="0"/>
        <w:autoSpaceDN w:val="0"/>
        <w:spacing w:before="120" w:after="0" w:line="300" w:lineRule="auto"/>
        <w:ind w:left="1985" w:hanging="284"/>
        <w:jc w:val="both"/>
        <w:rPr>
          <w:rFonts w:ascii="Arial" w:hAnsi="Arial" w:cs="Arial"/>
          <w:bCs/>
          <w:sz w:val="24"/>
          <w:szCs w:val="24"/>
        </w:rPr>
      </w:pPr>
      <w:r w:rsidRPr="002A2626">
        <w:rPr>
          <w:rFonts w:ascii="Arial" w:hAnsi="Arial" w:cs="Arial"/>
          <w:bCs/>
          <w:sz w:val="24"/>
          <w:szCs w:val="24"/>
        </w:rPr>
        <w:t>1 plaza de Técnico de Administración Especial (adjunto al Oficial Jefe).</w:t>
      </w:r>
    </w:p>
    <w:p w:rsidR="002A2626" w:rsidRPr="002A2626" w:rsidRDefault="002A2626" w:rsidP="002A2626">
      <w:pPr>
        <w:pStyle w:val="Prrafodelista"/>
        <w:numPr>
          <w:ilvl w:val="0"/>
          <w:numId w:val="42"/>
        </w:numPr>
        <w:autoSpaceDE w:val="0"/>
        <w:autoSpaceDN w:val="0"/>
        <w:spacing w:before="120" w:after="0" w:line="300" w:lineRule="auto"/>
        <w:ind w:left="1985" w:hanging="284"/>
        <w:jc w:val="both"/>
        <w:rPr>
          <w:rFonts w:ascii="Arial" w:hAnsi="Arial" w:cs="Arial"/>
          <w:bCs/>
          <w:sz w:val="24"/>
          <w:szCs w:val="24"/>
        </w:rPr>
      </w:pPr>
      <w:r w:rsidRPr="002A2626">
        <w:rPr>
          <w:rFonts w:ascii="Arial" w:hAnsi="Arial" w:cs="Arial"/>
          <w:bCs/>
          <w:sz w:val="24"/>
          <w:szCs w:val="24"/>
        </w:rPr>
        <w:t>1 plaza de Técnico de Prevención.</w:t>
      </w:r>
    </w:p>
    <w:p w:rsidR="002A2626" w:rsidRPr="002A2626" w:rsidRDefault="002A2626" w:rsidP="002A2626">
      <w:pPr>
        <w:numPr>
          <w:ilvl w:val="0"/>
          <w:numId w:val="7"/>
        </w:numPr>
        <w:autoSpaceDE w:val="0"/>
        <w:autoSpaceDN w:val="0"/>
        <w:spacing w:before="120" w:line="300" w:lineRule="auto"/>
        <w:rPr>
          <w:rFonts w:cs="Arial"/>
          <w:bCs/>
          <w:sz w:val="24"/>
          <w:szCs w:val="24"/>
        </w:rPr>
      </w:pPr>
      <w:r w:rsidRPr="002A2626">
        <w:rPr>
          <w:rFonts w:cs="Arial"/>
          <w:bCs/>
          <w:sz w:val="24"/>
          <w:szCs w:val="24"/>
        </w:rPr>
        <w:t>El coste de los días de asuntos particulares y de vacaciones adicionales por antigüedad aprobados por el Real Decreto Ley 10/2015 de 11 de septiembre.</w:t>
      </w:r>
    </w:p>
    <w:p w:rsidR="002A2626" w:rsidRPr="002A2626" w:rsidRDefault="002A2626" w:rsidP="002A2626">
      <w:pPr>
        <w:pStyle w:val="Prrafodelista"/>
        <w:numPr>
          <w:ilvl w:val="0"/>
          <w:numId w:val="7"/>
        </w:numPr>
        <w:autoSpaceDE w:val="0"/>
        <w:autoSpaceDN w:val="0"/>
        <w:spacing w:before="120" w:after="0" w:line="300" w:lineRule="auto"/>
        <w:jc w:val="both"/>
        <w:rPr>
          <w:rFonts w:ascii="Arial" w:hAnsi="Arial" w:cs="Arial"/>
          <w:bCs/>
          <w:sz w:val="24"/>
          <w:szCs w:val="24"/>
        </w:rPr>
      </w:pPr>
      <w:r w:rsidRPr="002A2626">
        <w:rPr>
          <w:rFonts w:ascii="Arial" w:hAnsi="Arial" w:cs="Arial"/>
          <w:bCs/>
          <w:sz w:val="24"/>
          <w:szCs w:val="24"/>
        </w:rPr>
        <w:t>El incremento de las pagas extraordinarias del personal funcionario en cumplimiento del artículo 121 de la Ley 40/2015 del Sector Público y la modificación del Acuerdo de Condiciones de Trabajo del personal Funcionario del Consorcio.</w:t>
      </w:r>
    </w:p>
    <w:p w:rsidR="002A2626" w:rsidRPr="002A2626" w:rsidRDefault="002A2626" w:rsidP="002A2626">
      <w:pPr>
        <w:numPr>
          <w:ilvl w:val="0"/>
          <w:numId w:val="7"/>
        </w:numPr>
        <w:autoSpaceDE w:val="0"/>
        <w:autoSpaceDN w:val="0"/>
        <w:spacing w:before="120" w:line="300" w:lineRule="auto"/>
        <w:rPr>
          <w:rFonts w:cs="Arial"/>
          <w:bCs/>
          <w:sz w:val="24"/>
          <w:szCs w:val="24"/>
        </w:rPr>
      </w:pPr>
      <w:r w:rsidRPr="002A2626">
        <w:rPr>
          <w:rFonts w:cs="Arial"/>
          <w:bCs/>
          <w:sz w:val="24"/>
          <w:szCs w:val="24"/>
        </w:rPr>
        <w:t xml:space="preserve">La dotación mínima diaria de bomberos operativos para el ejercicio 2019 continúa siendo de 44 efectivos durante los seis primeros meses del año, habiéndose contemplado el incremento de la dotación diaria a 48 efectivos una vez se abra el nuevo Parque de Bomberos de </w:t>
      </w:r>
      <w:proofErr w:type="spellStart"/>
      <w:r w:rsidRPr="002A2626">
        <w:rPr>
          <w:rFonts w:cs="Arial"/>
          <w:bCs/>
          <w:sz w:val="24"/>
          <w:szCs w:val="24"/>
        </w:rPr>
        <w:t>Güímar</w:t>
      </w:r>
      <w:proofErr w:type="spellEnd"/>
      <w:r w:rsidRPr="002A2626">
        <w:rPr>
          <w:rFonts w:cs="Arial"/>
          <w:bCs/>
          <w:sz w:val="24"/>
          <w:szCs w:val="24"/>
        </w:rPr>
        <w:t>, previsiblemente a partir del mes de julio de 2019.</w:t>
      </w:r>
    </w:p>
    <w:p w:rsidR="002A2626" w:rsidRPr="002A2626" w:rsidRDefault="002A2626" w:rsidP="002A2626">
      <w:pPr>
        <w:spacing w:before="120" w:line="300" w:lineRule="auto"/>
        <w:ind w:firstLine="709"/>
        <w:rPr>
          <w:rFonts w:cs="Arial"/>
          <w:bCs/>
          <w:sz w:val="24"/>
          <w:szCs w:val="24"/>
        </w:rPr>
      </w:pPr>
      <w:r w:rsidRPr="002A2626">
        <w:rPr>
          <w:rFonts w:cs="Arial"/>
          <w:bCs/>
          <w:sz w:val="24"/>
          <w:szCs w:val="24"/>
        </w:rPr>
        <w:t>El coste de los servicios extraordinarios de los funcionarios se cifra este año en 921.303,44 euros, alcanzando el 6,03% del total de este capítulo (sin tener en cuenta la cuota patronal de la seguridad social correspondiente a estas gratificaciones extraordinarias). Con respecto al ejercicio anterior, este concepto experimenta una disminución del 25,72%, que se debe a la incorporación de nuevo personal operativo, que disminuye el déficit de plantilla, y por lo tanto, las guardias extraordinarias.</w:t>
      </w:r>
    </w:p>
    <w:p w:rsidR="002A2626" w:rsidRPr="002A2626" w:rsidRDefault="002A2626" w:rsidP="002A2626">
      <w:pPr>
        <w:spacing w:before="120" w:line="300" w:lineRule="auto"/>
        <w:ind w:firstLine="709"/>
        <w:rPr>
          <w:rFonts w:cs="Arial"/>
          <w:bCs/>
          <w:sz w:val="24"/>
          <w:szCs w:val="24"/>
        </w:rPr>
      </w:pPr>
      <w:r w:rsidRPr="002A2626">
        <w:rPr>
          <w:rFonts w:cs="Arial"/>
          <w:bCs/>
          <w:sz w:val="24"/>
          <w:szCs w:val="24"/>
        </w:rPr>
        <w:t>El Capítulo I del Presupuesto para 2019 se presenta con un incremento del 3,54%, con respecto a lo presupuestado en el ejercicio 2018, que en términos absolutos se cifra en 521.562,35 euros.</w:t>
      </w:r>
    </w:p>
    <w:p w:rsidR="002A2626" w:rsidRPr="002A2626" w:rsidRDefault="002A2626" w:rsidP="002A2626">
      <w:pPr>
        <w:rPr>
          <w:rFonts w:cs="Arial"/>
          <w:bCs/>
          <w:color w:val="FF0000"/>
          <w:sz w:val="24"/>
          <w:szCs w:val="24"/>
        </w:rPr>
      </w:pPr>
    </w:p>
    <w:p w:rsidR="002A2626" w:rsidRPr="002A2626" w:rsidRDefault="002A2626" w:rsidP="002A2626">
      <w:pPr>
        <w:pStyle w:val="Prrafodelista"/>
        <w:numPr>
          <w:ilvl w:val="0"/>
          <w:numId w:val="7"/>
        </w:numPr>
        <w:autoSpaceDE w:val="0"/>
        <w:autoSpaceDN w:val="0"/>
        <w:spacing w:before="120" w:after="0" w:line="300" w:lineRule="auto"/>
        <w:ind w:left="1077" w:hanging="357"/>
        <w:jc w:val="both"/>
        <w:rPr>
          <w:rFonts w:ascii="Arial" w:hAnsi="Arial" w:cs="Arial"/>
          <w:b/>
          <w:bCs/>
          <w:sz w:val="24"/>
          <w:szCs w:val="24"/>
        </w:rPr>
      </w:pPr>
      <w:r w:rsidRPr="002A2626">
        <w:rPr>
          <w:rFonts w:ascii="Arial" w:hAnsi="Arial" w:cs="Arial"/>
          <w:b/>
          <w:bCs/>
          <w:i/>
          <w:sz w:val="24"/>
          <w:szCs w:val="24"/>
        </w:rPr>
        <w:t>Capítulo II</w:t>
      </w:r>
      <w:r w:rsidRPr="002A2626">
        <w:rPr>
          <w:rFonts w:ascii="Arial" w:hAnsi="Arial" w:cs="Arial"/>
          <w:bCs/>
          <w:i/>
          <w:sz w:val="24"/>
          <w:szCs w:val="24"/>
        </w:rPr>
        <w:t xml:space="preserve">, </w:t>
      </w:r>
      <w:r w:rsidRPr="002A2626">
        <w:rPr>
          <w:rFonts w:ascii="Arial" w:hAnsi="Arial" w:cs="Arial"/>
          <w:b/>
          <w:bCs/>
          <w:i/>
          <w:sz w:val="24"/>
          <w:szCs w:val="24"/>
        </w:rPr>
        <w:t>Gastos corrientes en bienes y servicios</w:t>
      </w:r>
    </w:p>
    <w:p w:rsidR="002A2626" w:rsidRPr="002A2626" w:rsidRDefault="002A2626" w:rsidP="002A2626">
      <w:pPr>
        <w:spacing w:before="120" w:line="300" w:lineRule="auto"/>
        <w:ind w:firstLine="709"/>
        <w:rPr>
          <w:rFonts w:cs="Arial"/>
          <w:bCs/>
          <w:sz w:val="24"/>
          <w:szCs w:val="24"/>
        </w:rPr>
      </w:pPr>
      <w:r w:rsidRPr="002A2626">
        <w:rPr>
          <w:rFonts w:cs="Arial"/>
          <w:bCs/>
          <w:sz w:val="24"/>
          <w:szCs w:val="24"/>
        </w:rPr>
        <w:lastRenderedPageBreak/>
        <w:t xml:space="preserve">El capítulo II del Presupuesto para 2019asciende a la cantidad de </w:t>
      </w:r>
      <w:r w:rsidRPr="002A2626">
        <w:rPr>
          <w:rFonts w:cs="Arial"/>
          <w:b/>
          <w:bCs/>
          <w:sz w:val="24"/>
          <w:szCs w:val="24"/>
        </w:rPr>
        <w:t>1.580.768,50euros</w:t>
      </w:r>
      <w:r w:rsidRPr="002A2626">
        <w:rPr>
          <w:rFonts w:cs="Arial"/>
          <w:bCs/>
          <w:sz w:val="24"/>
          <w:szCs w:val="24"/>
        </w:rPr>
        <w:t xml:space="preserve"> y supone el </w:t>
      </w:r>
      <w:r w:rsidRPr="002A2626">
        <w:rPr>
          <w:rFonts w:cs="Arial"/>
          <w:b/>
          <w:bCs/>
          <w:sz w:val="24"/>
          <w:szCs w:val="24"/>
        </w:rPr>
        <w:t>8,21%</w:t>
      </w:r>
      <w:r w:rsidRPr="002A2626">
        <w:rPr>
          <w:rFonts w:cs="Arial"/>
          <w:bCs/>
          <w:sz w:val="24"/>
          <w:szCs w:val="24"/>
        </w:rPr>
        <w:t xml:space="preserve"> del total del Presupuesto. El desglose es el siguiente:</w:t>
      </w:r>
    </w:p>
    <w:p w:rsidR="002A2626" w:rsidRPr="002A2626" w:rsidRDefault="002A2626" w:rsidP="002A2626">
      <w:pPr>
        <w:spacing w:before="120" w:line="300" w:lineRule="auto"/>
        <w:ind w:firstLine="709"/>
        <w:rPr>
          <w:rFonts w:cs="Arial"/>
          <w:bCs/>
          <w:sz w:val="24"/>
          <w:szCs w:val="24"/>
        </w:rPr>
      </w:pPr>
    </w:p>
    <w:tbl>
      <w:tblPr>
        <w:tblStyle w:val="Tablaconcuadrcula"/>
        <w:tblW w:w="8477" w:type="dxa"/>
        <w:tblInd w:w="108" w:type="dxa"/>
        <w:tblLook w:val="04A0"/>
      </w:tblPr>
      <w:tblGrid>
        <w:gridCol w:w="4138"/>
        <w:gridCol w:w="1618"/>
        <w:gridCol w:w="1618"/>
        <w:gridCol w:w="1103"/>
      </w:tblGrid>
      <w:tr w:rsidR="002A2626" w:rsidRPr="002A2626" w:rsidTr="00853C79">
        <w:tc>
          <w:tcPr>
            <w:tcW w:w="4219" w:type="dxa"/>
          </w:tcPr>
          <w:p w:rsidR="002A2626" w:rsidRPr="002A2626" w:rsidRDefault="002A2626" w:rsidP="002A2626">
            <w:pPr>
              <w:spacing w:line="300" w:lineRule="auto"/>
              <w:rPr>
                <w:rFonts w:cs="Arial"/>
                <w:b/>
                <w:bCs/>
                <w:sz w:val="24"/>
                <w:szCs w:val="24"/>
              </w:rPr>
            </w:pPr>
            <w:r w:rsidRPr="002A2626">
              <w:rPr>
                <w:rFonts w:cs="Arial"/>
                <w:b/>
                <w:bCs/>
                <w:sz w:val="24"/>
                <w:szCs w:val="24"/>
              </w:rPr>
              <w:t>Clasificación económica por artículos</w:t>
            </w:r>
          </w:p>
        </w:tc>
        <w:tc>
          <w:tcPr>
            <w:tcW w:w="1593" w:type="dxa"/>
            <w:vAlign w:val="center"/>
          </w:tcPr>
          <w:p w:rsidR="002A2626" w:rsidRPr="002A2626" w:rsidRDefault="002A2626" w:rsidP="002A2626">
            <w:pPr>
              <w:spacing w:line="300" w:lineRule="auto"/>
              <w:rPr>
                <w:rFonts w:cs="Arial"/>
                <w:b/>
                <w:bCs/>
                <w:sz w:val="24"/>
                <w:szCs w:val="24"/>
              </w:rPr>
            </w:pPr>
            <w:r w:rsidRPr="002A2626">
              <w:rPr>
                <w:rFonts w:cs="Arial"/>
                <w:b/>
                <w:bCs/>
                <w:sz w:val="24"/>
                <w:szCs w:val="24"/>
              </w:rPr>
              <w:t>2019</w:t>
            </w:r>
          </w:p>
        </w:tc>
        <w:tc>
          <w:tcPr>
            <w:tcW w:w="1559" w:type="dxa"/>
            <w:vAlign w:val="center"/>
          </w:tcPr>
          <w:p w:rsidR="002A2626" w:rsidRPr="002A2626" w:rsidRDefault="002A2626" w:rsidP="002A2626">
            <w:pPr>
              <w:spacing w:line="300" w:lineRule="auto"/>
              <w:rPr>
                <w:rFonts w:cs="Arial"/>
                <w:b/>
                <w:bCs/>
                <w:sz w:val="24"/>
                <w:szCs w:val="24"/>
              </w:rPr>
            </w:pPr>
            <w:r w:rsidRPr="002A2626">
              <w:rPr>
                <w:rFonts w:cs="Arial"/>
                <w:b/>
                <w:bCs/>
                <w:sz w:val="24"/>
                <w:szCs w:val="24"/>
              </w:rPr>
              <w:t>2018</w:t>
            </w:r>
          </w:p>
        </w:tc>
        <w:tc>
          <w:tcPr>
            <w:tcW w:w="1106" w:type="dxa"/>
            <w:vAlign w:val="center"/>
          </w:tcPr>
          <w:p w:rsidR="002A2626" w:rsidRPr="002A2626" w:rsidRDefault="002A2626" w:rsidP="002A2626">
            <w:pPr>
              <w:spacing w:line="300" w:lineRule="auto"/>
              <w:rPr>
                <w:rFonts w:cs="Arial"/>
                <w:b/>
                <w:bCs/>
                <w:sz w:val="24"/>
                <w:szCs w:val="24"/>
              </w:rPr>
            </w:pPr>
            <w:r w:rsidRPr="002A2626">
              <w:rPr>
                <w:rFonts w:cs="Arial"/>
                <w:b/>
                <w:bCs/>
                <w:sz w:val="24"/>
                <w:szCs w:val="24"/>
              </w:rPr>
              <w:t>%</w:t>
            </w:r>
          </w:p>
        </w:tc>
      </w:tr>
      <w:tr w:rsidR="002A2626" w:rsidRPr="002A2626" w:rsidTr="00853C79">
        <w:tc>
          <w:tcPr>
            <w:tcW w:w="4219" w:type="dxa"/>
            <w:vAlign w:val="center"/>
          </w:tcPr>
          <w:p w:rsidR="002A2626" w:rsidRPr="002A2626" w:rsidRDefault="002A2626" w:rsidP="002A2626">
            <w:pPr>
              <w:spacing w:line="300" w:lineRule="auto"/>
              <w:rPr>
                <w:rFonts w:cs="Arial"/>
                <w:bCs/>
                <w:sz w:val="24"/>
                <w:szCs w:val="24"/>
              </w:rPr>
            </w:pPr>
            <w:r w:rsidRPr="002A2626">
              <w:rPr>
                <w:rFonts w:cs="Arial"/>
                <w:bCs/>
                <w:sz w:val="24"/>
                <w:szCs w:val="24"/>
              </w:rPr>
              <w:t>20 Arrendamientos y cánones</w:t>
            </w:r>
          </w:p>
        </w:tc>
        <w:tc>
          <w:tcPr>
            <w:tcW w:w="1593" w:type="dxa"/>
            <w:vAlign w:val="center"/>
          </w:tcPr>
          <w:p w:rsidR="002A2626" w:rsidRPr="002A2626" w:rsidRDefault="002A2626" w:rsidP="002A2626">
            <w:pPr>
              <w:rPr>
                <w:rFonts w:cs="Arial"/>
                <w:sz w:val="24"/>
                <w:szCs w:val="24"/>
              </w:rPr>
            </w:pPr>
            <w:r w:rsidRPr="002A2626">
              <w:rPr>
                <w:rFonts w:cs="Arial"/>
                <w:bCs/>
                <w:sz w:val="24"/>
                <w:szCs w:val="24"/>
              </w:rPr>
              <w:t>54.386,00</w:t>
            </w:r>
          </w:p>
        </w:tc>
        <w:tc>
          <w:tcPr>
            <w:tcW w:w="1559" w:type="dxa"/>
            <w:vAlign w:val="center"/>
          </w:tcPr>
          <w:p w:rsidR="002A2626" w:rsidRPr="002A2626" w:rsidRDefault="002A2626" w:rsidP="002A2626">
            <w:pPr>
              <w:rPr>
                <w:rFonts w:cs="Arial"/>
                <w:sz w:val="24"/>
                <w:szCs w:val="24"/>
              </w:rPr>
            </w:pPr>
            <w:r w:rsidRPr="002A2626">
              <w:rPr>
                <w:rFonts w:cs="Arial"/>
                <w:bCs/>
                <w:sz w:val="24"/>
                <w:szCs w:val="24"/>
              </w:rPr>
              <w:t>52.210,00</w:t>
            </w:r>
          </w:p>
        </w:tc>
        <w:tc>
          <w:tcPr>
            <w:tcW w:w="1106" w:type="dxa"/>
            <w:vAlign w:val="center"/>
          </w:tcPr>
          <w:p w:rsidR="002A2626" w:rsidRPr="002A2626" w:rsidRDefault="002A2626" w:rsidP="002A2626">
            <w:pPr>
              <w:rPr>
                <w:rFonts w:cs="Arial"/>
                <w:sz w:val="24"/>
                <w:szCs w:val="24"/>
              </w:rPr>
            </w:pPr>
            <w:r w:rsidRPr="002A2626">
              <w:rPr>
                <w:rFonts w:cs="Arial"/>
                <w:bCs/>
                <w:sz w:val="24"/>
                <w:szCs w:val="24"/>
              </w:rPr>
              <w:t>4,17%</w:t>
            </w:r>
          </w:p>
        </w:tc>
      </w:tr>
      <w:tr w:rsidR="002A2626" w:rsidRPr="002A2626" w:rsidTr="00853C79">
        <w:tc>
          <w:tcPr>
            <w:tcW w:w="4219" w:type="dxa"/>
            <w:vAlign w:val="center"/>
          </w:tcPr>
          <w:p w:rsidR="002A2626" w:rsidRPr="002A2626" w:rsidRDefault="002A2626" w:rsidP="002A2626">
            <w:pPr>
              <w:spacing w:line="300" w:lineRule="auto"/>
              <w:rPr>
                <w:rFonts w:cs="Arial"/>
                <w:bCs/>
                <w:sz w:val="24"/>
                <w:szCs w:val="24"/>
              </w:rPr>
            </w:pPr>
            <w:r w:rsidRPr="002A2626">
              <w:rPr>
                <w:rFonts w:cs="Arial"/>
                <w:bCs/>
                <w:sz w:val="24"/>
                <w:szCs w:val="24"/>
              </w:rPr>
              <w:t>21 Reparaciones, mantenimiento y conservación</w:t>
            </w:r>
          </w:p>
        </w:tc>
        <w:tc>
          <w:tcPr>
            <w:tcW w:w="1593" w:type="dxa"/>
            <w:vAlign w:val="center"/>
          </w:tcPr>
          <w:p w:rsidR="002A2626" w:rsidRPr="002A2626" w:rsidRDefault="002A2626" w:rsidP="002A2626">
            <w:pPr>
              <w:rPr>
                <w:rFonts w:cs="Arial"/>
                <w:sz w:val="24"/>
                <w:szCs w:val="24"/>
              </w:rPr>
            </w:pPr>
            <w:r w:rsidRPr="002A2626">
              <w:rPr>
                <w:rFonts w:cs="Arial"/>
                <w:bCs/>
                <w:sz w:val="24"/>
                <w:szCs w:val="24"/>
              </w:rPr>
              <w:t>376.030,00</w:t>
            </w:r>
          </w:p>
        </w:tc>
        <w:tc>
          <w:tcPr>
            <w:tcW w:w="1559" w:type="dxa"/>
            <w:vAlign w:val="center"/>
          </w:tcPr>
          <w:p w:rsidR="002A2626" w:rsidRPr="002A2626" w:rsidRDefault="002A2626" w:rsidP="002A2626">
            <w:pPr>
              <w:rPr>
                <w:rFonts w:cs="Arial"/>
                <w:sz w:val="24"/>
                <w:szCs w:val="24"/>
              </w:rPr>
            </w:pPr>
            <w:r w:rsidRPr="002A2626">
              <w:rPr>
                <w:rFonts w:cs="Arial"/>
                <w:bCs/>
                <w:sz w:val="24"/>
                <w:szCs w:val="24"/>
              </w:rPr>
              <w:t>433.880,00</w:t>
            </w:r>
          </w:p>
        </w:tc>
        <w:tc>
          <w:tcPr>
            <w:tcW w:w="1106" w:type="dxa"/>
            <w:vAlign w:val="center"/>
          </w:tcPr>
          <w:p w:rsidR="002A2626" w:rsidRPr="002A2626" w:rsidRDefault="002A2626" w:rsidP="002A2626">
            <w:pPr>
              <w:rPr>
                <w:rFonts w:cs="Arial"/>
                <w:sz w:val="24"/>
                <w:szCs w:val="24"/>
              </w:rPr>
            </w:pPr>
            <w:r w:rsidRPr="002A2626">
              <w:rPr>
                <w:rFonts w:cs="Arial"/>
                <w:bCs/>
                <w:sz w:val="24"/>
                <w:szCs w:val="24"/>
              </w:rPr>
              <w:t>-13,33%</w:t>
            </w:r>
          </w:p>
        </w:tc>
      </w:tr>
      <w:tr w:rsidR="002A2626" w:rsidRPr="002A2626" w:rsidTr="00853C79">
        <w:tc>
          <w:tcPr>
            <w:tcW w:w="4219" w:type="dxa"/>
            <w:vAlign w:val="center"/>
          </w:tcPr>
          <w:p w:rsidR="002A2626" w:rsidRPr="002A2626" w:rsidRDefault="002A2626" w:rsidP="002A2626">
            <w:pPr>
              <w:spacing w:line="300" w:lineRule="auto"/>
              <w:rPr>
                <w:rFonts w:cs="Arial"/>
                <w:bCs/>
                <w:sz w:val="24"/>
                <w:szCs w:val="24"/>
              </w:rPr>
            </w:pPr>
            <w:r w:rsidRPr="002A2626">
              <w:rPr>
                <w:rFonts w:cs="Arial"/>
                <w:bCs/>
                <w:sz w:val="24"/>
                <w:szCs w:val="24"/>
              </w:rPr>
              <w:t>22 Material, suministros y otros</w:t>
            </w:r>
          </w:p>
        </w:tc>
        <w:tc>
          <w:tcPr>
            <w:tcW w:w="1593" w:type="dxa"/>
            <w:vAlign w:val="center"/>
          </w:tcPr>
          <w:p w:rsidR="002A2626" w:rsidRPr="002A2626" w:rsidRDefault="002A2626" w:rsidP="002A2626">
            <w:pPr>
              <w:rPr>
                <w:rFonts w:cs="Arial"/>
                <w:sz w:val="24"/>
                <w:szCs w:val="24"/>
              </w:rPr>
            </w:pPr>
            <w:r w:rsidRPr="002A2626">
              <w:rPr>
                <w:rFonts w:cs="Arial"/>
                <w:bCs/>
                <w:sz w:val="24"/>
                <w:szCs w:val="24"/>
              </w:rPr>
              <w:t>1.091.552,50</w:t>
            </w:r>
          </w:p>
        </w:tc>
        <w:tc>
          <w:tcPr>
            <w:tcW w:w="1559" w:type="dxa"/>
            <w:vAlign w:val="center"/>
          </w:tcPr>
          <w:p w:rsidR="002A2626" w:rsidRPr="002A2626" w:rsidRDefault="002A2626" w:rsidP="002A2626">
            <w:pPr>
              <w:rPr>
                <w:rFonts w:cs="Arial"/>
                <w:sz w:val="24"/>
                <w:szCs w:val="24"/>
              </w:rPr>
            </w:pPr>
            <w:r w:rsidRPr="002A2626">
              <w:rPr>
                <w:rFonts w:cs="Arial"/>
                <w:bCs/>
                <w:sz w:val="24"/>
                <w:szCs w:val="24"/>
              </w:rPr>
              <w:t>1.442.655,00</w:t>
            </w:r>
          </w:p>
        </w:tc>
        <w:tc>
          <w:tcPr>
            <w:tcW w:w="1106" w:type="dxa"/>
            <w:vAlign w:val="center"/>
          </w:tcPr>
          <w:p w:rsidR="002A2626" w:rsidRPr="002A2626" w:rsidRDefault="002A2626" w:rsidP="002A2626">
            <w:pPr>
              <w:rPr>
                <w:rFonts w:cs="Arial"/>
                <w:sz w:val="24"/>
                <w:szCs w:val="24"/>
              </w:rPr>
            </w:pPr>
            <w:r w:rsidRPr="002A2626">
              <w:rPr>
                <w:rFonts w:cs="Arial"/>
                <w:bCs/>
                <w:sz w:val="24"/>
                <w:szCs w:val="24"/>
              </w:rPr>
              <w:t>-24,34%</w:t>
            </w:r>
          </w:p>
        </w:tc>
      </w:tr>
      <w:tr w:rsidR="002A2626" w:rsidRPr="002A2626" w:rsidTr="00853C79">
        <w:tc>
          <w:tcPr>
            <w:tcW w:w="4219" w:type="dxa"/>
            <w:vAlign w:val="center"/>
          </w:tcPr>
          <w:p w:rsidR="002A2626" w:rsidRPr="002A2626" w:rsidRDefault="002A2626" w:rsidP="002A2626">
            <w:pPr>
              <w:spacing w:line="300" w:lineRule="auto"/>
              <w:rPr>
                <w:rFonts w:cs="Arial"/>
                <w:bCs/>
                <w:sz w:val="24"/>
                <w:szCs w:val="24"/>
              </w:rPr>
            </w:pPr>
            <w:r w:rsidRPr="002A2626">
              <w:rPr>
                <w:rFonts w:cs="Arial"/>
                <w:bCs/>
                <w:sz w:val="24"/>
                <w:szCs w:val="24"/>
              </w:rPr>
              <w:t>23 Indemnizaciones por razón del servicio</w:t>
            </w:r>
          </w:p>
        </w:tc>
        <w:tc>
          <w:tcPr>
            <w:tcW w:w="1593" w:type="dxa"/>
            <w:vAlign w:val="center"/>
          </w:tcPr>
          <w:p w:rsidR="002A2626" w:rsidRPr="002A2626" w:rsidRDefault="002A2626" w:rsidP="002A2626">
            <w:pPr>
              <w:rPr>
                <w:rFonts w:cs="Arial"/>
                <w:sz w:val="24"/>
                <w:szCs w:val="24"/>
              </w:rPr>
            </w:pPr>
            <w:r w:rsidRPr="002A2626">
              <w:rPr>
                <w:rFonts w:cs="Arial"/>
                <w:bCs/>
                <w:sz w:val="24"/>
                <w:szCs w:val="24"/>
              </w:rPr>
              <w:t>58.460,00</w:t>
            </w:r>
          </w:p>
        </w:tc>
        <w:tc>
          <w:tcPr>
            <w:tcW w:w="1559" w:type="dxa"/>
            <w:vAlign w:val="center"/>
          </w:tcPr>
          <w:p w:rsidR="002A2626" w:rsidRPr="002A2626" w:rsidRDefault="002A2626" w:rsidP="002A2626">
            <w:pPr>
              <w:rPr>
                <w:rFonts w:cs="Arial"/>
                <w:sz w:val="24"/>
                <w:szCs w:val="24"/>
              </w:rPr>
            </w:pPr>
            <w:r w:rsidRPr="002A2626">
              <w:rPr>
                <w:rFonts w:cs="Arial"/>
                <w:bCs/>
                <w:sz w:val="24"/>
                <w:szCs w:val="24"/>
              </w:rPr>
              <w:t>53.960,00</w:t>
            </w:r>
          </w:p>
        </w:tc>
        <w:tc>
          <w:tcPr>
            <w:tcW w:w="1106" w:type="dxa"/>
            <w:vAlign w:val="center"/>
          </w:tcPr>
          <w:p w:rsidR="002A2626" w:rsidRPr="002A2626" w:rsidRDefault="002A2626" w:rsidP="002A2626">
            <w:pPr>
              <w:rPr>
                <w:rFonts w:cs="Arial"/>
                <w:sz w:val="24"/>
                <w:szCs w:val="24"/>
              </w:rPr>
            </w:pPr>
            <w:r w:rsidRPr="002A2626">
              <w:rPr>
                <w:rFonts w:cs="Arial"/>
                <w:bCs/>
                <w:sz w:val="24"/>
                <w:szCs w:val="24"/>
              </w:rPr>
              <w:t>8,34%</w:t>
            </w:r>
          </w:p>
        </w:tc>
      </w:tr>
      <w:tr w:rsidR="002A2626" w:rsidRPr="002A2626" w:rsidTr="00853C79">
        <w:tc>
          <w:tcPr>
            <w:tcW w:w="4219" w:type="dxa"/>
            <w:vAlign w:val="center"/>
          </w:tcPr>
          <w:p w:rsidR="002A2626" w:rsidRPr="002A2626" w:rsidRDefault="002A2626" w:rsidP="002A2626">
            <w:pPr>
              <w:spacing w:line="300" w:lineRule="auto"/>
              <w:rPr>
                <w:rFonts w:cs="Arial"/>
                <w:bCs/>
                <w:sz w:val="24"/>
                <w:szCs w:val="24"/>
              </w:rPr>
            </w:pPr>
            <w:r w:rsidRPr="002A2626">
              <w:rPr>
                <w:rFonts w:cs="Arial"/>
                <w:bCs/>
                <w:sz w:val="24"/>
                <w:szCs w:val="24"/>
              </w:rPr>
              <w:t>24 Gastos de publicación</w:t>
            </w:r>
          </w:p>
        </w:tc>
        <w:tc>
          <w:tcPr>
            <w:tcW w:w="1593" w:type="dxa"/>
            <w:vAlign w:val="center"/>
          </w:tcPr>
          <w:p w:rsidR="002A2626" w:rsidRPr="002A2626" w:rsidRDefault="002A2626" w:rsidP="002A2626">
            <w:pPr>
              <w:rPr>
                <w:rFonts w:cs="Arial"/>
                <w:sz w:val="24"/>
                <w:szCs w:val="24"/>
              </w:rPr>
            </w:pPr>
            <w:r w:rsidRPr="002A2626">
              <w:rPr>
                <w:rFonts w:cs="Arial"/>
                <w:bCs/>
                <w:sz w:val="24"/>
                <w:szCs w:val="24"/>
              </w:rPr>
              <w:t>340,00</w:t>
            </w:r>
          </w:p>
        </w:tc>
        <w:tc>
          <w:tcPr>
            <w:tcW w:w="1559" w:type="dxa"/>
            <w:vAlign w:val="center"/>
          </w:tcPr>
          <w:p w:rsidR="002A2626" w:rsidRPr="002A2626" w:rsidRDefault="002A2626" w:rsidP="002A2626">
            <w:pPr>
              <w:rPr>
                <w:rFonts w:cs="Arial"/>
                <w:sz w:val="24"/>
                <w:szCs w:val="24"/>
              </w:rPr>
            </w:pPr>
            <w:r w:rsidRPr="002A2626">
              <w:rPr>
                <w:rFonts w:cs="Arial"/>
                <w:bCs/>
                <w:sz w:val="24"/>
                <w:szCs w:val="24"/>
              </w:rPr>
              <w:t>340,00</w:t>
            </w:r>
          </w:p>
        </w:tc>
        <w:tc>
          <w:tcPr>
            <w:tcW w:w="1106" w:type="dxa"/>
            <w:vAlign w:val="center"/>
          </w:tcPr>
          <w:p w:rsidR="002A2626" w:rsidRPr="002A2626" w:rsidRDefault="002A2626" w:rsidP="002A2626">
            <w:pPr>
              <w:rPr>
                <w:rFonts w:cs="Arial"/>
                <w:sz w:val="24"/>
                <w:szCs w:val="24"/>
              </w:rPr>
            </w:pPr>
            <w:r w:rsidRPr="002A2626">
              <w:rPr>
                <w:rFonts w:cs="Arial"/>
                <w:bCs/>
                <w:sz w:val="24"/>
                <w:szCs w:val="24"/>
              </w:rPr>
              <w:t>0,00%</w:t>
            </w:r>
          </w:p>
        </w:tc>
      </w:tr>
      <w:tr w:rsidR="002A2626" w:rsidRPr="002A2626" w:rsidTr="00853C79">
        <w:tc>
          <w:tcPr>
            <w:tcW w:w="4219" w:type="dxa"/>
            <w:vAlign w:val="center"/>
          </w:tcPr>
          <w:p w:rsidR="002A2626" w:rsidRPr="002A2626" w:rsidRDefault="002A2626" w:rsidP="002A2626">
            <w:pPr>
              <w:spacing w:line="300" w:lineRule="auto"/>
              <w:rPr>
                <w:rFonts w:cs="Arial"/>
                <w:b/>
                <w:bCs/>
                <w:sz w:val="24"/>
                <w:szCs w:val="24"/>
              </w:rPr>
            </w:pPr>
          </w:p>
        </w:tc>
        <w:tc>
          <w:tcPr>
            <w:tcW w:w="1593" w:type="dxa"/>
            <w:vAlign w:val="center"/>
          </w:tcPr>
          <w:p w:rsidR="002A2626" w:rsidRPr="002A2626" w:rsidRDefault="002A2626" w:rsidP="002A2626">
            <w:pPr>
              <w:rPr>
                <w:rFonts w:cs="Arial"/>
                <w:b/>
                <w:bCs/>
                <w:sz w:val="24"/>
                <w:szCs w:val="24"/>
              </w:rPr>
            </w:pPr>
            <w:r w:rsidRPr="002A2626">
              <w:rPr>
                <w:rFonts w:cs="Arial"/>
                <w:b/>
                <w:bCs/>
                <w:sz w:val="24"/>
                <w:szCs w:val="24"/>
              </w:rPr>
              <w:t>1.580.768,50</w:t>
            </w:r>
          </w:p>
        </w:tc>
        <w:tc>
          <w:tcPr>
            <w:tcW w:w="1559" w:type="dxa"/>
            <w:vAlign w:val="center"/>
          </w:tcPr>
          <w:p w:rsidR="002A2626" w:rsidRPr="002A2626" w:rsidRDefault="002A2626" w:rsidP="002A2626">
            <w:pPr>
              <w:rPr>
                <w:rFonts w:cs="Arial"/>
                <w:b/>
                <w:bCs/>
                <w:sz w:val="24"/>
                <w:szCs w:val="24"/>
              </w:rPr>
            </w:pPr>
            <w:r w:rsidRPr="002A2626">
              <w:rPr>
                <w:rFonts w:cs="Arial"/>
                <w:b/>
                <w:bCs/>
                <w:sz w:val="24"/>
                <w:szCs w:val="24"/>
              </w:rPr>
              <w:t>1.983.045,00</w:t>
            </w:r>
          </w:p>
        </w:tc>
        <w:tc>
          <w:tcPr>
            <w:tcW w:w="1106" w:type="dxa"/>
            <w:vAlign w:val="center"/>
          </w:tcPr>
          <w:p w:rsidR="002A2626" w:rsidRPr="002A2626" w:rsidRDefault="002A2626" w:rsidP="002A2626">
            <w:pPr>
              <w:rPr>
                <w:rFonts w:cs="Arial"/>
                <w:b/>
                <w:bCs/>
                <w:sz w:val="24"/>
                <w:szCs w:val="24"/>
              </w:rPr>
            </w:pPr>
            <w:r w:rsidRPr="002A2626">
              <w:rPr>
                <w:rFonts w:cs="Arial"/>
                <w:b/>
                <w:bCs/>
                <w:sz w:val="24"/>
                <w:szCs w:val="24"/>
              </w:rPr>
              <w:t>-20,29%</w:t>
            </w:r>
          </w:p>
        </w:tc>
      </w:tr>
    </w:tbl>
    <w:p w:rsidR="002A2626" w:rsidRPr="002A2626" w:rsidRDefault="002A2626" w:rsidP="002A2626">
      <w:pPr>
        <w:spacing w:before="120" w:line="300" w:lineRule="auto"/>
        <w:ind w:firstLine="709"/>
        <w:rPr>
          <w:rFonts w:cs="Arial"/>
          <w:b/>
          <w:bCs/>
          <w:color w:val="FF0000"/>
          <w:sz w:val="24"/>
          <w:szCs w:val="24"/>
        </w:rPr>
      </w:pPr>
    </w:p>
    <w:p w:rsidR="002A2626" w:rsidRPr="002A2626" w:rsidRDefault="002A2626" w:rsidP="002A2626">
      <w:pPr>
        <w:spacing w:before="120" w:line="300" w:lineRule="auto"/>
        <w:ind w:firstLine="709"/>
        <w:rPr>
          <w:rFonts w:cs="Arial"/>
          <w:bCs/>
          <w:sz w:val="24"/>
          <w:szCs w:val="24"/>
        </w:rPr>
      </w:pPr>
      <w:r w:rsidRPr="002A2626">
        <w:rPr>
          <w:rFonts w:cs="Arial"/>
          <w:bCs/>
          <w:sz w:val="24"/>
          <w:szCs w:val="24"/>
        </w:rPr>
        <w:t>El capítulo II, gastos en bienes corrientes y servicios, para el ejercicio 2019presenta una disminución del 20,29% con respecto al ejercicio anterior. El importe de este capítulo asciende a 1.580.768,50 euros, 402.276,50 euros menos que en el año 2018.</w:t>
      </w:r>
    </w:p>
    <w:p w:rsidR="002A2626" w:rsidRPr="002A2626" w:rsidRDefault="002A2626" w:rsidP="002A2626">
      <w:pPr>
        <w:spacing w:before="120" w:line="300" w:lineRule="auto"/>
        <w:ind w:firstLine="709"/>
        <w:rPr>
          <w:rFonts w:cs="Arial"/>
          <w:bCs/>
          <w:sz w:val="24"/>
          <w:szCs w:val="24"/>
        </w:rPr>
      </w:pPr>
      <w:r w:rsidRPr="002A2626">
        <w:rPr>
          <w:rFonts w:cs="Arial"/>
          <w:bCs/>
          <w:sz w:val="24"/>
          <w:szCs w:val="24"/>
        </w:rPr>
        <w:t>Este decremento del capítulo se debe principalmente al suministro de vestuario. Durante el 2018 se adjudicaron los contratos para dotar al personal operativo de vestuario y equipos de protección individual, necesarios para el cumplimiento de las normas de seguridad e higiene en el trabajo para este servicio de emergencia, por lo que durante este ejercicio este gasto no se va a acometer.</w:t>
      </w:r>
    </w:p>
    <w:p w:rsidR="002A2626" w:rsidRPr="002A2626" w:rsidRDefault="002A2626" w:rsidP="002A2626">
      <w:pPr>
        <w:spacing w:before="120" w:line="300" w:lineRule="auto"/>
        <w:ind w:firstLine="709"/>
        <w:rPr>
          <w:rFonts w:cs="Arial"/>
          <w:bCs/>
          <w:sz w:val="24"/>
          <w:szCs w:val="24"/>
        </w:rPr>
      </w:pPr>
      <w:r w:rsidRPr="002A2626">
        <w:rPr>
          <w:rFonts w:cs="Arial"/>
          <w:bCs/>
          <w:sz w:val="24"/>
          <w:szCs w:val="24"/>
        </w:rPr>
        <w:t xml:space="preserve">Este capítulo recoge los gastos de servicios y suministros necesarios para el normal funcionamiento del servicio de bomberos. </w:t>
      </w:r>
    </w:p>
    <w:p w:rsidR="002A2626" w:rsidRPr="002A2626" w:rsidRDefault="002A2626" w:rsidP="002A2626">
      <w:pPr>
        <w:spacing w:before="120" w:line="300" w:lineRule="auto"/>
        <w:ind w:firstLine="709"/>
        <w:rPr>
          <w:rFonts w:cs="Arial"/>
          <w:bCs/>
          <w:sz w:val="24"/>
          <w:szCs w:val="24"/>
        </w:rPr>
      </w:pPr>
      <w:r w:rsidRPr="002A2626">
        <w:rPr>
          <w:rFonts w:cs="Arial"/>
          <w:bCs/>
          <w:sz w:val="24"/>
          <w:szCs w:val="24"/>
        </w:rPr>
        <w:t xml:space="preserve">Mantenimiento de los vehículos (Autoescaleras, autobombas, vehículo especiales de rescate,…), mantenimiento del material técnico operativo (equipos de respiración autónoma, limpieza de máscaras, extintores, botellas de aire comprimido…), mantenimiento de maquinaria y utillaje, mantenimiento de edificios, limpieza…, a lo que hay que sumar los suministros de agua, </w:t>
      </w:r>
      <w:r w:rsidRPr="002A2626">
        <w:rPr>
          <w:rFonts w:cs="Arial"/>
          <w:bCs/>
          <w:sz w:val="24"/>
          <w:szCs w:val="24"/>
        </w:rPr>
        <w:lastRenderedPageBreak/>
        <w:t>electricidad, teléfonos, repuestos de maquinarias, combustibles, seguros de los vehículos, hacen que disminuir este capítulo sea prácticamente imposible.</w:t>
      </w:r>
    </w:p>
    <w:p w:rsidR="002A2626" w:rsidRPr="002A2626" w:rsidRDefault="002A2626" w:rsidP="002A2626">
      <w:pPr>
        <w:spacing w:before="120" w:line="300" w:lineRule="auto"/>
        <w:ind w:firstLine="709"/>
        <w:rPr>
          <w:rFonts w:cs="Arial"/>
          <w:bCs/>
          <w:color w:val="FF0000"/>
          <w:sz w:val="24"/>
          <w:szCs w:val="24"/>
        </w:rPr>
      </w:pPr>
    </w:p>
    <w:p w:rsidR="002A2626" w:rsidRPr="002A2626" w:rsidRDefault="002A2626" w:rsidP="002A2626">
      <w:pPr>
        <w:pStyle w:val="Prrafodelista"/>
        <w:numPr>
          <w:ilvl w:val="0"/>
          <w:numId w:val="7"/>
        </w:numPr>
        <w:autoSpaceDE w:val="0"/>
        <w:autoSpaceDN w:val="0"/>
        <w:spacing w:before="120" w:after="0" w:line="300" w:lineRule="auto"/>
        <w:jc w:val="both"/>
        <w:rPr>
          <w:rFonts w:ascii="Arial" w:hAnsi="Arial" w:cs="Arial"/>
          <w:b/>
          <w:bCs/>
          <w:i/>
          <w:sz w:val="24"/>
          <w:szCs w:val="24"/>
        </w:rPr>
      </w:pPr>
      <w:r w:rsidRPr="002A2626">
        <w:rPr>
          <w:rFonts w:ascii="Arial" w:hAnsi="Arial" w:cs="Arial"/>
          <w:b/>
          <w:bCs/>
          <w:i/>
          <w:sz w:val="24"/>
          <w:szCs w:val="24"/>
        </w:rPr>
        <w:t>Capítulo III, Gastos financieros</w:t>
      </w:r>
    </w:p>
    <w:p w:rsidR="002A2626" w:rsidRPr="002A2626" w:rsidRDefault="002A2626" w:rsidP="002A2626">
      <w:pPr>
        <w:spacing w:before="120" w:line="300" w:lineRule="auto"/>
        <w:ind w:firstLine="709"/>
        <w:rPr>
          <w:rFonts w:cs="Arial"/>
          <w:bCs/>
          <w:sz w:val="24"/>
          <w:szCs w:val="24"/>
        </w:rPr>
      </w:pPr>
      <w:r w:rsidRPr="002A2626">
        <w:rPr>
          <w:rFonts w:cs="Arial"/>
          <w:bCs/>
          <w:sz w:val="24"/>
          <w:szCs w:val="24"/>
        </w:rPr>
        <w:t>La cantidad presupuestada en este capítulo es para los gastos financieros que las entidades bancarias cobran por los servicios prestados, principalmente en concepto de gastos por transferencias al extranjero. El Consorcio no tiene concertada ninguna operación de endeudamiento ni de tesorería que suponga un coste imputable a este capítulo. Este capítulo no experimenta variación significativa con respecto al ejercicio anterior, y su peso en el total del Presupuesto es de 0,01%.</w:t>
      </w:r>
    </w:p>
    <w:p w:rsidR="002A2626" w:rsidRPr="002A2626" w:rsidRDefault="002A2626" w:rsidP="002A2626">
      <w:pPr>
        <w:spacing w:before="120" w:line="300" w:lineRule="auto"/>
        <w:ind w:firstLine="709"/>
        <w:rPr>
          <w:rFonts w:cs="Arial"/>
          <w:bCs/>
          <w:color w:val="FF0000"/>
          <w:sz w:val="24"/>
          <w:szCs w:val="24"/>
        </w:rPr>
      </w:pPr>
    </w:p>
    <w:p w:rsidR="002A2626" w:rsidRPr="002A2626" w:rsidRDefault="002A2626" w:rsidP="002A2626">
      <w:pPr>
        <w:pStyle w:val="Prrafodelista"/>
        <w:numPr>
          <w:ilvl w:val="0"/>
          <w:numId w:val="7"/>
        </w:numPr>
        <w:tabs>
          <w:tab w:val="clear" w:pos="1080"/>
        </w:tabs>
        <w:autoSpaceDE w:val="0"/>
        <w:autoSpaceDN w:val="0"/>
        <w:spacing w:before="120" w:after="0" w:line="300" w:lineRule="auto"/>
        <w:jc w:val="both"/>
        <w:rPr>
          <w:rFonts w:ascii="Arial" w:hAnsi="Arial" w:cs="Arial"/>
          <w:bCs/>
          <w:sz w:val="24"/>
          <w:szCs w:val="24"/>
        </w:rPr>
      </w:pPr>
      <w:r w:rsidRPr="002A2626">
        <w:rPr>
          <w:rFonts w:ascii="Arial" w:hAnsi="Arial" w:cs="Arial"/>
          <w:b/>
          <w:bCs/>
          <w:i/>
          <w:sz w:val="24"/>
          <w:szCs w:val="24"/>
        </w:rPr>
        <w:t>Capítulo IV, Transferencias corrientes</w:t>
      </w:r>
    </w:p>
    <w:p w:rsidR="002A2626" w:rsidRPr="002A2626" w:rsidRDefault="002A2626" w:rsidP="002A2626">
      <w:pPr>
        <w:spacing w:before="120" w:line="300" w:lineRule="auto"/>
        <w:ind w:firstLine="720"/>
        <w:rPr>
          <w:rFonts w:cs="Arial"/>
          <w:bCs/>
          <w:sz w:val="24"/>
          <w:szCs w:val="24"/>
        </w:rPr>
      </w:pPr>
      <w:r w:rsidRPr="002A2626">
        <w:rPr>
          <w:rFonts w:cs="Arial"/>
          <w:bCs/>
          <w:sz w:val="24"/>
          <w:szCs w:val="24"/>
        </w:rPr>
        <w:t>El capítulo IV para 2019 se cifra en 242.000,00 euros, no presentando variación con respecto al ejercicio anterior. Solo recoge subvenciones nominativas que vienen detalladas en el Anexo I de este Presupuesto:</w:t>
      </w:r>
    </w:p>
    <w:p w:rsidR="002A2626" w:rsidRPr="002A2626" w:rsidRDefault="002A2626" w:rsidP="002A2626">
      <w:pPr>
        <w:pStyle w:val="Prrafodelista"/>
        <w:numPr>
          <w:ilvl w:val="3"/>
          <w:numId w:val="7"/>
        </w:numPr>
        <w:tabs>
          <w:tab w:val="clear" w:pos="3240"/>
        </w:tabs>
        <w:autoSpaceDE w:val="0"/>
        <w:autoSpaceDN w:val="0"/>
        <w:spacing w:before="120" w:after="0" w:line="300" w:lineRule="auto"/>
        <w:ind w:left="1560" w:hanging="284"/>
        <w:jc w:val="both"/>
        <w:rPr>
          <w:rFonts w:ascii="Arial" w:hAnsi="Arial" w:cs="Arial"/>
          <w:bCs/>
          <w:sz w:val="24"/>
          <w:szCs w:val="24"/>
        </w:rPr>
      </w:pPr>
      <w:r w:rsidRPr="002A2626">
        <w:rPr>
          <w:rFonts w:ascii="Arial" w:hAnsi="Arial" w:cs="Arial"/>
          <w:bCs/>
          <w:sz w:val="24"/>
          <w:szCs w:val="24"/>
        </w:rPr>
        <w:t>Subvención Asociación Deportiva y Cultural, formada por los trabajadores del Consorcio.</w:t>
      </w:r>
    </w:p>
    <w:p w:rsidR="002A2626" w:rsidRPr="002A2626" w:rsidRDefault="002A2626" w:rsidP="002A2626">
      <w:pPr>
        <w:pStyle w:val="Prrafodelista"/>
        <w:numPr>
          <w:ilvl w:val="3"/>
          <w:numId w:val="7"/>
        </w:numPr>
        <w:tabs>
          <w:tab w:val="clear" w:pos="3240"/>
        </w:tabs>
        <w:autoSpaceDE w:val="0"/>
        <w:autoSpaceDN w:val="0"/>
        <w:spacing w:before="120" w:after="0" w:line="300" w:lineRule="auto"/>
        <w:ind w:left="1560" w:hanging="284"/>
        <w:jc w:val="both"/>
        <w:rPr>
          <w:rFonts w:ascii="Arial" w:hAnsi="Arial" w:cs="Arial"/>
          <w:bCs/>
          <w:sz w:val="24"/>
          <w:szCs w:val="24"/>
        </w:rPr>
      </w:pPr>
      <w:r w:rsidRPr="002A2626">
        <w:rPr>
          <w:rFonts w:ascii="Arial" w:hAnsi="Arial" w:cs="Arial"/>
          <w:bCs/>
          <w:sz w:val="24"/>
          <w:szCs w:val="24"/>
        </w:rPr>
        <w:t>Subvención O.N.G. Bomberos Sin Fronteras.</w:t>
      </w:r>
    </w:p>
    <w:p w:rsidR="002A2626" w:rsidRPr="002A2626" w:rsidRDefault="002A2626" w:rsidP="002A2626">
      <w:pPr>
        <w:pStyle w:val="Prrafodelista"/>
        <w:numPr>
          <w:ilvl w:val="3"/>
          <w:numId w:val="7"/>
        </w:numPr>
        <w:tabs>
          <w:tab w:val="clear" w:pos="3240"/>
        </w:tabs>
        <w:autoSpaceDE w:val="0"/>
        <w:autoSpaceDN w:val="0"/>
        <w:spacing w:before="120" w:after="0" w:line="300" w:lineRule="auto"/>
        <w:ind w:left="1560" w:hanging="284"/>
        <w:jc w:val="both"/>
        <w:rPr>
          <w:rFonts w:ascii="Arial" w:hAnsi="Arial" w:cs="Arial"/>
          <w:bCs/>
          <w:sz w:val="24"/>
          <w:szCs w:val="24"/>
        </w:rPr>
      </w:pPr>
      <w:r w:rsidRPr="002A2626">
        <w:rPr>
          <w:rFonts w:ascii="Arial" w:hAnsi="Arial" w:cs="Arial"/>
          <w:bCs/>
          <w:sz w:val="24"/>
          <w:szCs w:val="24"/>
        </w:rPr>
        <w:t>Asociación de Consorcios de Bomberos de España (</w:t>
      </w:r>
      <w:proofErr w:type="spellStart"/>
      <w:r w:rsidRPr="002A2626">
        <w:rPr>
          <w:rFonts w:ascii="Arial" w:hAnsi="Arial" w:cs="Arial"/>
          <w:bCs/>
          <w:sz w:val="24"/>
          <w:szCs w:val="24"/>
        </w:rPr>
        <w:t>Conbé</w:t>
      </w:r>
      <w:proofErr w:type="spellEnd"/>
      <w:r w:rsidRPr="002A2626">
        <w:rPr>
          <w:rFonts w:ascii="Arial" w:hAnsi="Arial" w:cs="Arial"/>
          <w:bCs/>
          <w:sz w:val="24"/>
          <w:szCs w:val="24"/>
        </w:rPr>
        <w:t>), cuota social.</w:t>
      </w:r>
    </w:p>
    <w:p w:rsidR="002A2626" w:rsidRPr="002A2626" w:rsidRDefault="002A2626" w:rsidP="002A2626">
      <w:pPr>
        <w:pStyle w:val="Prrafodelista"/>
        <w:numPr>
          <w:ilvl w:val="3"/>
          <w:numId w:val="7"/>
        </w:numPr>
        <w:tabs>
          <w:tab w:val="clear" w:pos="3240"/>
        </w:tabs>
        <w:autoSpaceDE w:val="0"/>
        <w:autoSpaceDN w:val="0"/>
        <w:spacing w:before="120" w:after="0" w:line="300" w:lineRule="auto"/>
        <w:ind w:left="1560" w:hanging="284"/>
        <w:jc w:val="both"/>
        <w:rPr>
          <w:rFonts w:ascii="Arial" w:hAnsi="Arial" w:cs="Arial"/>
          <w:bCs/>
          <w:sz w:val="24"/>
          <w:szCs w:val="24"/>
        </w:rPr>
      </w:pPr>
      <w:r w:rsidRPr="002A2626">
        <w:rPr>
          <w:rFonts w:ascii="Arial" w:hAnsi="Arial" w:cs="Arial"/>
          <w:bCs/>
          <w:sz w:val="24"/>
          <w:szCs w:val="24"/>
        </w:rPr>
        <w:t>Subvención para gastos corrientes de las Asociaciones de Bomberos Voluntarios.</w:t>
      </w:r>
    </w:p>
    <w:p w:rsidR="002A2626" w:rsidRPr="002A2626" w:rsidRDefault="002A2626" w:rsidP="002A2626">
      <w:pPr>
        <w:spacing w:before="120" w:line="300" w:lineRule="auto"/>
        <w:ind w:firstLine="720"/>
        <w:rPr>
          <w:rFonts w:cs="Arial"/>
          <w:bCs/>
          <w:color w:val="FF0000"/>
          <w:sz w:val="24"/>
          <w:szCs w:val="24"/>
        </w:rPr>
      </w:pPr>
    </w:p>
    <w:tbl>
      <w:tblPr>
        <w:tblStyle w:val="Tablaconcuadrcula"/>
        <w:tblW w:w="8477" w:type="dxa"/>
        <w:tblInd w:w="108" w:type="dxa"/>
        <w:tblLook w:val="04A0"/>
      </w:tblPr>
      <w:tblGrid>
        <w:gridCol w:w="4219"/>
        <w:gridCol w:w="1593"/>
        <w:gridCol w:w="1559"/>
        <w:gridCol w:w="1106"/>
      </w:tblGrid>
      <w:tr w:rsidR="002A2626" w:rsidRPr="002A2626" w:rsidTr="00853C79">
        <w:tc>
          <w:tcPr>
            <w:tcW w:w="4219" w:type="dxa"/>
          </w:tcPr>
          <w:p w:rsidR="002A2626" w:rsidRPr="002A2626" w:rsidRDefault="002A2626" w:rsidP="002A2626">
            <w:pPr>
              <w:spacing w:line="300" w:lineRule="auto"/>
              <w:rPr>
                <w:rFonts w:cs="Arial"/>
                <w:b/>
                <w:bCs/>
                <w:sz w:val="24"/>
                <w:szCs w:val="24"/>
              </w:rPr>
            </w:pPr>
            <w:r w:rsidRPr="002A2626">
              <w:rPr>
                <w:rFonts w:cs="Arial"/>
                <w:b/>
                <w:bCs/>
                <w:sz w:val="24"/>
                <w:szCs w:val="24"/>
              </w:rPr>
              <w:t>Clasificación económica por artículos</w:t>
            </w:r>
          </w:p>
        </w:tc>
        <w:tc>
          <w:tcPr>
            <w:tcW w:w="1593" w:type="dxa"/>
            <w:vAlign w:val="center"/>
          </w:tcPr>
          <w:p w:rsidR="002A2626" w:rsidRPr="002A2626" w:rsidRDefault="002A2626" w:rsidP="002A2626">
            <w:pPr>
              <w:spacing w:line="300" w:lineRule="auto"/>
              <w:rPr>
                <w:rFonts w:cs="Arial"/>
                <w:b/>
                <w:bCs/>
                <w:sz w:val="24"/>
                <w:szCs w:val="24"/>
              </w:rPr>
            </w:pPr>
            <w:r w:rsidRPr="002A2626">
              <w:rPr>
                <w:rFonts w:cs="Arial"/>
                <w:b/>
                <w:bCs/>
                <w:sz w:val="24"/>
                <w:szCs w:val="24"/>
              </w:rPr>
              <w:t>2019</w:t>
            </w:r>
          </w:p>
        </w:tc>
        <w:tc>
          <w:tcPr>
            <w:tcW w:w="1559" w:type="dxa"/>
            <w:vAlign w:val="center"/>
          </w:tcPr>
          <w:p w:rsidR="002A2626" w:rsidRPr="002A2626" w:rsidRDefault="002A2626" w:rsidP="002A2626">
            <w:pPr>
              <w:spacing w:line="300" w:lineRule="auto"/>
              <w:rPr>
                <w:rFonts w:cs="Arial"/>
                <w:b/>
                <w:bCs/>
                <w:sz w:val="24"/>
                <w:szCs w:val="24"/>
              </w:rPr>
            </w:pPr>
            <w:r w:rsidRPr="002A2626">
              <w:rPr>
                <w:rFonts w:cs="Arial"/>
                <w:b/>
                <w:bCs/>
                <w:sz w:val="24"/>
                <w:szCs w:val="24"/>
              </w:rPr>
              <w:t>2018</w:t>
            </w:r>
          </w:p>
        </w:tc>
        <w:tc>
          <w:tcPr>
            <w:tcW w:w="1106" w:type="dxa"/>
            <w:vAlign w:val="center"/>
          </w:tcPr>
          <w:p w:rsidR="002A2626" w:rsidRPr="002A2626" w:rsidRDefault="002A2626" w:rsidP="002A2626">
            <w:pPr>
              <w:spacing w:line="300" w:lineRule="auto"/>
              <w:rPr>
                <w:rFonts w:cs="Arial"/>
                <w:b/>
                <w:bCs/>
                <w:sz w:val="24"/>
                <w:szCs w:val="24"/>
              </w:rPr>
            </w:pPr>
            <w:r w:rsidRPr="002A2626">
              <w:rPr>
                <w:rFonts w:cs="Arial"/>
                <w:b/>
                <w:bCs/>
                <w:sz w:val="24"/>
                <w:szCs w:val="24"/>
              </w:rPr>
              <w:t>%</w:t>
            </w:r>
          </w:p>
        </w:tc>
      </w:tr>
      <w:tr w:rsidR="002A2626" w:rsidRPr="002A2626" w:rsidTr="00853C79">
        <w:tc>
          <w:tcPr>
            <w:tcW w:w="4219" w:type="dxa"/>
            <w:vAlign w:val="center"/>
          </w:tcPr>
          <w:p w:rsidR="002A2626" w:rsidRPr="002A2626" w:rsidRDefault="002A2626" w:rsidP="002A2626">
            <w:pPr>
              <w:spacing w:line="300" w:lineRule="auto"/>
              <w:rPr>
                <w:rFonts w:cs="Arial"/>
                <w:bCs/>
                <w:sz w:val="24"/>
                <w:szCs w:val="24"/>
              </w:rPr>
            </w:pPr>
            <w:r w:rsidRPr="002A2626">
              <w:rPr>
                <w:rFonts w:cs="Arial"/>
                <w:bCs/>
                <w:sz w:val="24"/>
                <w:szCs w:val="24"/>
              </w:rPr>
              <w:t>48Transferencias corrientes a Familias e Instituciones sin fines de lucro</w:t>
            </w:r>
          </w:p>
        </w:tc>
        <w:tc>
          <w:tcPr>
            <w:tcW w:w="1593" w:type="dxa"/>
            <w:vAlign w:val="center"/>
          </w:tcPr>
          <w:p w:rsidR="002A2626" w:rsidRPr="002A2626" w:rsidRDefault="002A2626" w:rsidP="002A2626">
            <w:pPr>
              <w:rPr>
                <w:rFonts w:cs="Arial"/>
                <w:sz w:val="24"/>
                <w:szCs w:val="24"/>
              </w:rPr>
            </w:pPr>
            <w:r w:rsidRPr="002A2626">
              <w:rPr>
                <w:rFonts w:cs="Arial"/>
                <w:bCs/>
                <w:sz w:val="24"/>
                <w:szCs w:val="24"/>
              </w:rPr>
              <w:t>242.000,00</w:t>
            </w:r>
          </w:p>
        </w:tc>
        <w:tc>
          <w:tcPr>
            <w:tcW w:w="1559" w:type="dxa"/>
            <w:vAlign w:val="center"/>
          </w:tcPr>
          <w:p w:rsidR="002A2626" w:rsidRPr="002A2626" w:rsidRDefault="002A2626" w:rsidP="002A2626">
            <w:pPr>
              <w:spacing w:line="300" w:lineRule="auto"/>
              <w:rPr>
                <w:rFonts w:cs="Arial"/>
                <w:bCs/>
                <w:sz w:val="24"/>
                <w:szCs w:val="24"/>
              </w:rPr>
            </w:pPr>
            <w:r w:rsidRPr="002A2626">
              <w:rPr>
                <w:rFonts w:cs="Arial"/>
                <w:bCs/>
                <w:sz w:val="24"/>
                <w:szCs w:val="24"/>
              </w:rPr>
              <w:t>242.000,00</w:t>
            </w:r>
          </w:p>
        </w:tc>
        <w:tc>
          <w:tcPr>
            <w:tcW w:w="1106" w:type="dxa"/>
            <w:vAlign w:val="center"/>
          </w:tcPr>
          <w:p w:rsidR="002A2626" w:rsidRPr="002A2626" w:rsidRDefault="002A2626" w:rsidP="002A2626">
            <w:pPr>
              <w:rPr>
                <w:rFonts w:cs="Arial"/>
                <w:sz w:val="24"/>
                <w:szCs w:val="24"/>
              </w:rPr>
            </w:pPr>
            <w:r w:rsidRPr="002A2626">
              <w:rPr>
                <w:rFonts w:cs="Arial"/>
                <w:bCs/>
                <w:sz w:val="24"/>
                <w:szCs w:val="24"/>
              </w:rPr>
              <w:t>0,00%</w:t>
            </w:r>
          </w:p>
        </w:tc>
      </w:tr>
      <w:tr w:rsidR="002A2626" w:rsidRPr="002A2626" w:rsidTr="00853C79">
        <w:tc>
          <w:tcPr>
            <w:tcW w:w="4219" w:type="dxa"/>
            <w:vAlign w:val="center"/>
          </w:tcPr>
          <w:p w:rsidR="002A2626" w:rsidRPr="002A2626" w:rsidRDefault="002A2626" w:rsidP="002A2626">
            <w:pPr>
              <w:spacing w:line="300" w:lineRule="auto"/>
              <w:rPr>
                <w:rFonts w:cs="Arial"/>
                <w:b/>
                <w:bCs/>
                <w:sz w:val="24"/>
                <w:szCs w:val="24"/>
              </w:rPr>
            </w:pPr>
          </w:p>
        </w:tc>
        <w:tc>
          <w:tcPr>
            <w:tcW w:w="1593" w:type="dxa"/>
            <w:vAlign w:val="center"/>
          </w:tcPr>
          <w:p w:rsidR="002A2626" w:rsidRPr="002A2626" w:rsidRDefault="002A2626" w:rsidP="002A2626">
            <w:pPr>
              <w:rPr>
                <w:rFonts w:cs="Arial"/>
                <w:b/>
                <w:bCs/>
                <w:sz w:val="24"/>
                <w:szCs w:val="24"/>
              </w:rPr>
            </w:pPr>
            <w:r w:rsidRPr="002A2626">
              <w:rPr>
                <w:rFonts w:cs="Arial"/>
                <w:b/>
                <w:bCs/>
                <w:sz w:val="24"/>
                <w:szCs w:val="24"/>
              </w:rPr>
              <w:t>242.000,00</w:t>
            </w:r>
          </w:p>
        </w:tc>
        <w:tc>
          <w:tcPr>
            <w:tcW w:w="1559" w:type="dxa"/>
            <w:vAlign w:val="center"/>
          </w:tcPr>
          <w:p w:rsidR="002A2626" w:rsidRPr="002A2626" w:rsidRDefault="002A2626" w:rsidP="002A2626">
            <w:pPr>
              <w:spacing w:line="300" w:lineRule="auto"/>
              <w:rPr>
                <w:rFonts w:cs="Arial"/>
                <w:b/>
                <w:bCs/>
                <w:sz w:val="24"/>
                <w:szCs w:val="24"/>
              </w:rPr>
            </w:pPr>
            <w:r w:rsidRPr="002A2626">
              <w:rPr>
                <w:rFonts w:cs="Arial"/>
                <w:b/>
                <w:bCs/>
                <w:sz w:val="24"/>
                <w:szCs w:val="24"/>
              </w:rPr>
              <w:t>242.000,00</w:t>
            </w:r>
          </w:p>
        </w:tc>
        <w:tc>
          <w:tcPr>
            <w:tcW w:w="1106" w:type="dxa"/>
            <w:vAlign w:val="center"/>
          </w:tcPr>
          <w:p w:rsidR="002A2626" w:rsidRPr="002A2626" w:rsidRDefault="002A2626" w:rsidP="002A2626">
            <w:pPr>
              <w:rPr>
                <w:rFonts w:cs="Arial"/>
                <w:b/>
                <w:bCs/>
                <w:sz w:val="24"/>
                <w:szCs w:val="24"/>
              </w:rPr>
            </w:pPr>
            <w:r w:rsidRPr="002A2626">
              <w:rPr>
                <w:rFonts w:cs="Arial"/>
                <w:b/>
                <w:bCs/>
                <w:sz w:val="24"/>
                <w:szCs w:val="24"/>
              </w:rPr>
              <w:t>0,00%</w:t>
            </w:r>
          </w:p>
        </w:tc>
      </w:tr>
    </w:tbl>
    <w:p w:rsidR="002A2626" w:rsidRPr="002A2626" w:rsidRDefault="002A2626" w:rsidP="002A2626">
      <w:pPr>
        <w:spacing w:before="120" w:line="300" w:lineRule="auto"/>
        <w:ind w:firstLine="720"/>
        <w:rPr>
          <w:rFonts w:cs="Arial"/>
          <w:bCs/>
          <w:color w:val="FF0000"/>
          <w:sz w:val="24"/>
          <w:szCs w:val="24"/>
        </w:rPr>
      </w:pPr>
    </w:p>
    <w:p w:rsidR="002A2626" w:rsidRPr="002A2626" w:rsidRDefault="002A2626" w:rsidP="002A2626">
      <w:pPr>
        <w:spacing w:before="120" w:line="300" w:lineRule="auto"/>
        <w:ind w:firstLine="720"/>
        <w:rPr>
          <w:rFonts w:cs="Arial"/>
          <w:bCs/>
          <w:sz w:val="24"/>
          <w:szCs w:val="24"/>
        </w:rPr>
      </w:pPr>
      <w:r w:rsidRPr="002A2626">
        <w:rPr>
          <w:rFonts w:cs="Arial"/>
          <w:bCs/>
          <w:sz w:val="24"/>
          <w:szCs w:val="24"/>
        </w:rPr>
        <w:lastRenderedPageBreak/>
        <w:t xml:space="preserve">El total del Capítulo IV alcanza la cantidad de 242.000 euros, representando el </w:t>
      </w:r>
      <w:r w:rsidRPr="002A2626">
        <w:rPr>
          <w:rFonts w:cs="Arial"/>
          <w:b/>
          <w:bCs/>
          <w:sz w:val="24"/>
          <w:szCs w:val="24"/>
        </w:rPr>
        <w:t>1,26%</w:t>
      </w:r>
      <w:r w:rsidRPr="002A2626">
        <w:rPr>
          <w:rFonts w:cs="Arial"/>
          <w:bCs/>
          <w:sz w:val="24"/>
          <w:szCs w:val="24"/>
        </w:rPr>
        <w:t xml:space="preserve"> del Presupuesto total.</w:t>
      </w:r>
    </w:p>
    <w:p w:rsidR="002A2626" w:rsidRPr="002A2626" w:rsidRDefault="002A2626" w:rsidP="002A2626">
      <w:pPr>
        <w:spacing w:before="120" w:line="300" w:lineRule="auto"/>
        <w:ind w:firstLine="709"/>
        <w:rPr>
          <w:rFonts w:cs="Arial"/>
          <w:bCs/>
          <w:sz w:val="24"/>
          <w:szCs w:val="24"/>
        </w:rPr>
      </w:pPr>
    </w:p>
    <w:p w:rsidR="002A2626" w:rsidRDefault="002A2626" w:rsidP="002A2626">
      <w:pPr>
        <w:spacing w:before="120" w:line="300" w:lineRule="auto"/>
        <w:ind w:firstLine="709"/>
        <w:rPr>
          <w:rFonts w:cs="Arial"/>
          <w:bCs/>
          <w:sz w:val="24"/>
          <w:szCs w:val="24"/>
        </w:rPr>
      </w:pPr>
      <w:r w:rsidRPr="002A2626">
        <w:rPr>
          <w:rFonts w:cs="Arial"/>
          <w:bCs/>
          <w:sz w:val="24"/>
          <w:szCs w:val="24"/>
        </w:rPr>
        <w:t xml:space="preserve">El porcentaje de los </w:t>
      </w:r>
      <w:r w:rsidRPr="002A2626">
        <w:rPr>
          <w:rFonts w:cs="Arial"/>
          <w:b/>
          <w:bCs/>
          <w:sz w:val="24"/>
          <w:szCs w:val="24"/>
        </w:rPr>
        <w:t xml:space="preserve">gastos </w:t>
      </w:r>
      <w:proofErr w:type="spellStart"/>
      <w:r w:rsidRPr="002A2626">
        <w:rPr>
          <w:rFonts w:cs="Arial"/>
          <w:b/>
          <w:bCs/>
          <w:sz w:val="24"/>
          <w:szCs w:val="24"/>
        </w:rPr>
        <w:t>corrientes</w:t>
      </w:r>
      <w:r w:rsidRPr="002A2626">
        <w:rPr>
          <w:rFonts w:cs="Arial"/>
          <w:bCs/>
          <w:sz w:val="24"/>
          <w:szCs w:val="24"/>
        </w:rPr>
        <w:t>es</w:t>
      </w:r>
      <w:proofErr w:type="spellEnd"/>
      <w:r w:rsidRPr="002A2626">
        <w:rPr>
          <w:rFonts w:cs="Arial"/>
          <w:bCs/>
          <w:sz w:val="24"/>
          <w:szCs w:val="24"/>
        </w:rPr>
        <w:t xml:space="preserve"> del </w:t>
      </w:r>
      <w:r w:rsidRPr="002A2626">
        <w:rPr>
          <w:rFonts w:cs="Arial"/>
          <w:b/>
          <w:bCs/>
          <w:sz w:val="24"/>
          <w:szCs w:val="24"/>
        </w:rPr>
        <w:t>88,79%</w:t>
      </w:r>
      <w:r w:rsidRPr="002A2626">
        <w:rPr>
          <w:rFonts w:cs="Arial"/>
          <w:bCs/>
          <w:sz w:val="24"/>
          <w:szCs w:val="24"/>
        </w:rPr>
        <w:t xml:space="preserve">del Presupuesto total del </w:t>
      </w:r>
      <w:proofErr w:type="spellStart"/>
      <w:r w:rsidRPr="002A2626">
        <w:rPr>
          <w:rFonts w:cs="Arial"/>
          <w:bCs/>
          <w:sz w:val="24"/>
          <w:szCs w:val="24"/>
        </w:rPr>
        <w:t>Consorcio</w:t>
      </w:r>
      <w:proofErr w:type="gramStart"/>
      <w:r w:rsidRPr="002A2626">
        <w:rPr>
          <w:rFonts w:cs="Arial"/>
          <w:bCs/>
          <w:sz w:val="24"/>
          <w:szCs w:val="24"/>
        </w:rPr>
        <w:t>,incrementándose</w:t>
      </w:r>
      <w:proofErr w:type="spellEnd"/>
      <w:proofErr w:type="gramEnd"/>
      <w:r w:rsidRPr="002A2626">
        <w:rPr>
          <w:rFonts w:cs="Arial"/>
          <w:bCs/>
          <w:sz w:val="24"/>
          <w:szCs w:val="24"/>
        </w:rPr>
        <w:t xml:space="preserve"> con respecto al del ejercicio anterior en 119.225,85 euros. El total de los gastos corrientes para 2019 se cifran en 17.098.095,52 euros.</w:t>
      </w:r>
    </w:p>
    <w:p w:rsidR="002A2626" w:rsidRPr="002A2626" w:rsidRDefault="002A2626" w:rsidP="002A2626">
      <w:pPr>
        <w:spacing w:before="120" w:line="300" w:lineRule="auto"/>
        <w:ind w:firstLine="709"/>
        <w:rPr>
          <w:rFonts w:cs="Arial"/>
          <w:bCs/>
          <w:sz w:val="24"/>
          <w:szCs w:val="24"/>
        </w:rPr>
      </w:pPr>
    </w:p>
    <w:p w:rsidR="002A2626" w:rsidRPr="002A2626" w:rsidRDefault="002A2626" w:rsidP="002A2626">
      <w:pPr>
        <w:pStyle w:val="Prrafodelista"/>
        <w:numPr>
          <w:ilvl w:val="0"/>
          <w:numId w:val="7"/>
        </w:numPr>
        <w:autoSpaceDE w:val="0"/>
        <w:autoSpaceDN w:val="0"/>
        <w:spacing w:before="120" w:after="0" w:line="300" w:lineRule="auto"/>
        <w:jc w:val="both"/>
        <w:rPr>
          <w:rFonts w:ascii="Arial" w:hAnsi="Arial" w:cs="Arial"/>
          <w:bCs/>
          <w:sz w:val="24"/>
          <w:szCs w:val="24"/>
        </w:rPr>
      </w:pPr>
      <w:r w:rsidRPr="002A2626">
        <w:rPr>
          <w:rFonts w:ascii="Arial" w:hAnsi="Arial" w:cs="Arial"/>
          <w:b/>
          <w:bCs/>
          <w:i/>
          <w:sz w:val="24"/>
          <w:szCs w:val="24"/>
        </w:rPr>
        <w:t>Capítulo VI, Inversiones reales</w:t>
      </w:r>
    </w:p>
    <w:p w:rsidR="002A2626" w:rsidRPr="002A2626" w:rsidRDefault="002A2626" w:rsidP="002A2626">
      <w:pPr>
        <w:pStyle w:val="Prrafodelista"/>
        <w:spacing w:before="120" w:after="120" w:line="300" w:lineRule="auto"/>
        <w:ind w:left="0" w:firstLine="709"/>
        <w:jc w:val="both"/>
        <w:rPr>
          <w:rFonts w:ascii="Arial" w:hAnsi="Arial" w:cs="Arial"/>
          <w:bCs/>
          <w:sz w:val="24"/>
          <w:szCs w:val="24"/>
        </w:rPr>
      </w:pPr>
      <w:r w:rsidRPr="002A2626">
        <w:rPr>
          <w:rFonts w:ascii="Arial" w:hAnsi="Arial" w:cs="Arial"/>
          <w:bCs/>
          <w:sz w:val="24"/>
          <w:szCs w:val="24"/>
        </w:rPr>
        <w:t xml:space="preserve">El presupuesto para inversiones de este año es de 1.928.284,42 euros, lo que supone </w:t>
      </w:r>
      <w:proofErr w:type="spellStart"/>
      <w:r w:rsidRPr="002A2626">
        <w:rPr>
          <w:rFonts w:ascii="Arial" w:hAnsi="Arial" w:cs="Arial"/>
          <w:bCs/>
          <w:sz w:val="24"/>
          <w:szCs w:val="24"/>
        </w:rPr>
        <w:t>unadisminución</w:t>
      </w:r>
      <w:proofErr w:type="spellEnd"/>
      <w:r w:rsidRPr="002A2626">
        <w:rPr>
          <w:rFonts w:ascii="Arial" w:hAnsi="Arial" w:cs="Arial"/>
          <w:bCs/>
          <w:sz w:val="24"/>
          <w:szCs w:val="24"/>
        </w:rPr>
        <w:t xml:space="preserve"> del 46,95% con respecto al 2018, es decir</w:t>
      </w:r>
      <w:proofErr w:type="gramStart"/>
      <w:r w:rsidRPr="002A2626">
        <w:rPr>
          <w:rFonts w:ascii="Arial" w:hAnsi="Arial" w:cs="Arial"/>
          <w:bCs/>
          <w:sz w:val="24"/>
          <w:szCs w:val="24"/>
        </w:rPr>
        <w:t>,1.706.600,58</w:t>
      </w:r>
      <w:proofErr w:type="gramEnd"/>
      <w:r w:rsidRPr="002A2626">
        <w:rPr>
          <w:rFonts w:ascii="Arial" w:hAnsi="Arial" w:cs="Arial"/>
          <w:bCs/>
          <w:sz w:val="24"/>
          <w:szCs w:val="24"/>
        </w:rPr>
        <w:t xml:space="preserve"> euros menos.</w:t>
      </w:r>
    </w:p>
    <w:p w:rsidR="002A2626" w:rsidRPr="002A2626" w:rsidRDefault="002A2626" w:rsidP="002A2626">
      <w:pPr>
        <w:pStyle w:val="Prrafodelista"/>
        <w:spacing w:before="120" w:after="120" w:line="300" w:lineRule="auto"/>
        <w:ind w:left="0" w:firstLine="709"/>
        <w:jc w:val="both"/>
        <w:rPr>
          <w:rFonts w:ascii="Arial" w:hAnsi="Arial" w:cs="Arial"/>
          <w:bCs/>
          <w:sz w:val="24"/>
          <w:szCs w:val="24"/>
        </w:rPr>
      </w:pPr>
    </w:p>
    <w:tbl>
      <w:tblPr>
        <w:tblStyle w:val="Tablaconcuadrcula"/>
        <w:tblW w:w="8477" w:type="dxa"/>
        <w:jc w:val="center"/>
        <w:tblLook w:val="04A0"/>
      </w:tblPr>
      <w:tblGrid>
        <w:gridCol w:w="4077"/>
        <w:gridCol w:w="1618"/>
        <w:gridCol w:w="1618"/>
        <w:gridCol w:w="1164"/>
      </w:tblGrid>
      <w:tr w:rsidR="002A2626" w:rsidRPr="002A2626" w:rsidTr="00853C79">
        <w:trPr>
          <w:jc w:val="center"/>
        </w:trPr>
        <w:tc>
          <w:tcPr>
            <w:tcW w:w="4219" w:type="dxa"/>
          </w:tcPr>
          <w:p w:rsidR="002A2626" w:rsidRPr="002A2626" w:rsidRDefault="002A2626" w:rsidP="002A2626">
            <w:pPr>
              <w:spacing w:line="300" w:lineRule="auto"/>
              <w:rPr>
                <w:rFonts w:cs="Arial"/>
                <w:b/>
                <w:bCs/>
                <w:sz w:val="24"/>
                <w:szCs w:val="24"/>
              </w:rPr>
            </w:pPr>
            <w:r w:rsidRPr="002A2626">
              <w:rPr>
                <w:rFonts w:cs="Arial"/>
                <w:b/>
                <w:bCs/>
                <w:sz w:val="24"/>
                <w:szCs w:val="24"/>
              </w:rPr>
              <w:t>Clasificación económica por artículos</w:t>
            </w:r>
          </w:p>
        </w:tc>
        <w:tc>
          <w:tcPr>
            <w:tcW w:w="1593" w:type="dxa"/>
            <w:vAlign w:val="center"/>
          </w:tcPr>
          <w:p w:rsidR="002A2626" w:rsidRPr="002A2626" w:rsidRDefault="002A2626" w:rsidP="002A2626">
            <w:pPr>
              <w:spacing w:line="300" w:lineRule="auto"/>
              <w:rPr>
                <w:rFonts w:cs="Arial"/>
                <w:b/>
                <w:bCs/>
                <w:sz w:val="24"/>
                <w:szCs w:val="24"/>
              </w:rPr>
            </w:pPr>
            <w:r w:rsidRPr="002A2626">
              <w:rPr>
                <w:rFonts w:cs="Arial"/>
                <w:b/>
                <w:bCs/>
                <w:sz w:val="24"/>
                <w:szCs w:val="24"/>
              </w:rPr>
              <w:t>2019</w:t>
            </w:r>
          </w:p>
        </w:tc>
        <w:tc>
          <w:tcPr>
            <w:tcW w:w="1559" w:type="dxa"/>
            <w:vAlign w:val="center"/>
          </w:tcPr>
          <w:p w:rsidR="002A2626" w:rsidRPr="002A2626" w:rsidRDefault="002A2626" w:rsidP="002A2626">
            <w:pPr>
              <w:spacing w:line="300" w:lineRule="auto"/>
              <w:rPr>
                <w:rFonts w:cs="Arial"/>
                <w:b/>
                <w:bCs/>
                <w:sz w:val="24"/>
                <w:szCs w:val="24"/>
              </w:rPr>
            </w:pPr>
            <w:r w:rsidRPr="002A2626">
              <w:rPr>
                <w:rFonts w:cs="Arial"/>
                <w:b/>
                <w:bCs/>
                <w:sz w:val="24"/>
                <w:szCs w:val="24"/>
              </w:rPr>
              <w:t>2018</w:t>
            </w:r>
          </w:p>
        </w:tc>
        <w:tc>
          <w:tcPr>
            <w:tcW w:w="1106" w:type="dxa"/>
            <w:vAlign w:val="center"/>
          </w:tcPr>
          <w:p w:rsidR="002A2626" w:rsidRPr="002A2626" w:rsidRDefault="002A2626" w:rsidP="002A2626">
            <w:pPr>
              <w:spacing w:line="300" w:lineRule="auto"/>
              <w:rPr>
                <w:rFonts w:cs="Arial"/>
                <w:b/>
                <w:bCs/>
                <w:sz w:val="24"/>
                <w:szCs w:val="24"/>
              </w:rPr>
            </w:pPr>
            <w:r w:rsidRPr="002A2626">
              <w:rPr>
                <w:rFonts w:cs="Arial"/>
                <w:b/>
                <w:bCs/>
                <w:sz w:val="24"/>
                <w:szCs w:val="24"/>
              </w:rPr>
              <w:t>%</w:t>
            </w:r>
          </w:p>
        </w:tc>
      </w:tr>
      <w:tr w:rsidR="002A2626" w:rsidRPr="002A2626" w:rsidTr="00853C79">
        <w:trPr>
          <w:jc w:val="center"/>
        </w:trPr>
        <w:tc>
          <w:tcPr>
            <w:tcW w:w="4219" w:type="dxa"/>
            <w:vAlign w:val="center"/>
          </w:tcPr>
          <w:p w:rsidR="002A2626" w:rsidRPr="002A2626" w:rsidRDefault="002A2626" w:rsidP="002A2626">
            <w:pPr>
              <w:spacing w:line="300" w:lineRule="auto"/>
              <w:rPr>
                <w:rFonts w:cs="Arial"/>
                <w:bCs/>
                <w:sz w:val="24"/>
                <w:szCs w:val="24"/>
              </w:rPr>
            </w:pPr>
            <w:r w:rsidRPr="002A2626">
              <w:rPr>
                <w:rFonts w:cs="Arial"/>
                <w:bCs/>
                <w:sz w:val="24"/>
                <w:szCs w:val="24"/>
              </w:rPr>
              <w:t>62Inversión nueva asociada al funcionamiento operativo de los servicios</w:t>
            </w:r>
          </w:p>
        </w:tc>
        <w:tc>
          <w:tcPr>
            <w:tcW w:w="1593" w:type="dxa"/>
            <w:vAlign w:val="center"/>
          </w:tcPr>
          <w:p w:rsidR="002A2626" w:rsidRPr="002A2626" w:rsidRDefault="002A2626" w:rsidP="002A2626">
            <w:pPr>
              <w:rPr>
                <w:rFonts w:cs="Arial"/>
                <w:sz w:val="24"/>
                <w:szCs w:val="24"/>
              </w:rPr>
            </w:pPr>
            <w:r w:rsidRPr="002A2626">
              <w:rPr>
                <w:rFonts w:cs="Arial"/>
                <w:bCs/>
                <w:sz w:val="24"/>
                <w:szCs w:val="24"/>
              </w:rPr>
              <w:t>1.787.226,00</w:t>
            </w:r>
          </w:p>
        </w:tc>
        <w:tc>
          <w:tcPr>
            <w:tcW w:w="1559" w:type="dxa"/>
            <w:vAlign w:val="center"/>
          </w:tcPr>
          <w:p w:rsidR="002A2626" w:rsidRPr="002A2626" w:rsidRDefault="002A2626" w:rsidP="002A2626">
            <w:pPr>
              <w:spacing w:line="300" w:lineRule="auto"/>
              <w:rPr>
                <w:rFonts w:cs="Arial"/>
                <w:bCs/>
                <w:sz w:val="24"/>
                <w:szCs w:val="24"/>
              </w:rPr>
            </w:pPr>
            <w:r w:rsidRPr="002A2626">
              <w:rPr>
                <w:rFonts w:cs="Arial"/>
                <w:bCs/>
                <w:sz w:val="24"/>
                <w:szCs w:val="24"/>
              </w:rPr>
              <w:t>2.985.385,00</w:t>
            </w:r>
          </w:p>
        </w:tc>
        <w:tc>
          <w:tcPr>
            <w:tcW w:w="1106" w:type="dxa"/>
            <w:vAlign w:val="center"/>
          </w:tcPr>
          <w:p w:rsidR="002A2626" w:rsidRPr="002A2626" w:rsidRDefault="002A2626" w:rsidP="002A2626">
            <w:pPr>
              <w:rPr>
                <w:rFonts w:cs="Arial"/>
                <w:sz w:val="24"/>
                <w:szCs w:val="24"/>
              </w:rPr>
            </w:pPr>
            <w:r w:rsidRPr="002A2626">
              <w:rPr>
                <w:rFonts w:cs="Arial"/>
                <w:bCs/>
                <w:sz w:val="24"/>
                <w:szCs w:val="24"/>
              </w:rPr>
              <w:t>-40,13%</w:t>
            </w:r>
          </w:p>
        </w:tc>
      </w:tr>
      <w:tr w:rsidR="002A2626" w:rsidRPr="002A2626" w:rsidTr="00853C79">
        <w:trPr>
          <w:jc w:val="center"/>
        </w:trPr>
        <w:tc>
          <w:tcPr>
            <w:tcW w:w="4219" w:type="dxa"/>
            <w:vAlign w:val="center"/>
          </w:tcPr>
          <w:p w:rsidR="002A2626" w:rsidRPr="002A2626" w:rsidRDefault="002A2626" w:rsidP="002A2626">
            <w:pPr>
              <w:spacing w:line="300" w:lineRule="auto"/>
              <w:rPr>
                <w:rFonts w:cs="Arial"/>
                <w:bCs/>
                <w:sz w:val="24"/>
                <w:szCs w:val="24"/>
              </w:rPr>
            </w:pPr>
            <w:r w:rsidRPr="002A2626">
              <w:rPr>
                <w:rFonts w:cs="Arial"/>
                <w:bCs/>
                <w:sz w:val="24"/>
                <w:szCs w:val="24"/>
              </w:rPr>
              <w:t>63 inversión reposición asociada al funcionamiento operativo de los servicios</w:t>
            </w:r>
          </w:p>
        </w:tc>
        <w:tc>
          <w:tcPr>
            <w:tcW w:w="1593" w:type="dxa"/>
            <w:vAlign w:val="center"/>
          </w:tcPr>
          <w:p w:rsidR="002A2626" w:rsidRPr="002A2626" w:rsidRDefault="002A2626" w:rsidP="002A2626">
            <w:pPr>
              <w:rPr>
                <w:rFonts w:cs="Arial"/>
                <w:bCs/>
                <w:sz w:val="24"/>
                <w:szCs w:val="24"/>
              </w:rPr>
            </w:pPr>
            <w:r w:rsidRPr="002A2626">
              <w:rPr>
                <w:rFonts w:cs="Arial"/>
                <w:bCs/>
                <w:sz w:val="24"/>
                <w:szCs w:val="24"/>
              </w:rPr>
              <w:t>141.058,42</w:t>
            </w:r>
          </w:p>
        </w:tc>
        <w:tc>
          <w:tcPr>
            <w:tcW w:w="1559" w:type="dxa"/>
            <w:vAlign w:val="center"/>
          </w:tcPr>
          <w:p w:rsidR="002A2626" w:rsidRPr="002A2626" w:rsidRDefault="002A2626" w:rsidP="002A2626">
            <w:pPr>
              <w:spacing w:line="300" w:lineRule="auto"/>
              <w:rPr>
                <w:rFonts w:cs="Arial"/>
                <w:bCs/>
                <w:sz w:val="24"/>
                <w:szCs w:val="24"/>
              </w:rPr>
            </w:pPr>
            <w:r w:rsidRPr="002A2626">
              <w:rPr>
                <w:rFonts w:cs="Arial"/>
                <w:bCs/>
                <w:sz w:val="24"/>
                <w:szCs w:val="24"/>
              </w:rPr>
              <w:t>502.000,00</w:t>
            </w:r>
          </w:p>
        </w:tc>
        <w:tc>
          <w:tcPr>
            <w:tcW w:w="1106" w:type="dxa"/>
            <w:vAlign w:val="center"/>
          </w:tcPr>
          <w:p w:rsidR="002A2626" w:rsidRPr="002A2626" w:rsidRDefault="002A2626" w:rsidP="002A2626">
            <w:pPr>
              <w:rPr>
                <w:rFonts w:cs="Arial"/>
                <w:bCs/>
                <w:sz w:val="24"/>
                <w:szCs w:val="24"/>
              </w:rPr>
            </w:pPr>
            <w:r w:rsidRPr="002A2626">
              <w:rPr>
                <w:rFonts w:cs="Arial"/>
                <w:bCs/>
                <w:sz w:val="24"/>
                <w:szCs w:val="24"/>
              </w:rPr>
              <w:t>-71,90%</w:t>
            </w:r>
          </w:p>
        </w:tc>
      </w:tr>
      <w:tr w:rsidR="002A2626" w:rsidRPr="002A2626" w:rsidTr="00853C79">
        <w:trPr>
          <w:jc w:val="center"/>
        </w:trPr>
        <w:tc>
          <w:tcPr>
            <w:tcW w:w="4219" w:type="dxa"/>
            <w:vAlign w:val="center"/>
          </w:tcPr>
          <w:p w:rsidR="002A2626" w:rsidRPr="002A2626" w:rsidRDefault="002A2626" w:rsidP="002A2626">
            <w:pPr>
              <w:spacing w:line="300" w:lineRule="auto"/>
              <w:rPr>
                <w:rFonts w:cs="Arial"/>
                <w:bCs/>
                <w:sz w:val="24"/>
                <w:szCs w:val="24"/>
              </w:rPr>
            </w:pPr>
            <w:r w:rsidRPr="002A2626">
              <w:rPr>
                <w:rFonts w:cs="Arial"/>
                <w:bCs/>
                <w:sz w:val="24"/>
                <w:szCs w:val="24"/>
              </w:rPr>
              <w:t>64 Gastos en inversiones de carácter inmaterial</w:t>
            </w:r>
          </w:p>
        </w:tc>
        <w:tc>
          <w:tcPr>
            <w:tcW w:w="1593" w:type="dxa"/>
            <w:vAlign w:val="center"/>
          </w:tcPr>
          <w:p w:rsidR="002A2626" w:rsidRPr="002A2626" w:rsidRDefault="002A2626" w:rsidP="002A2626">
            <w:pPr>
              <w:rPr>
                <w:rFonts w:cs="Arial"/>
                <w:bCs/>
                <w:sz w:val="24"/>
                <w:szCs w:val="24"/>
              </w:rPr>
            </w:pPr>
            <w:r w:rsidRPr="002A2626">
              <w:rPr>
                <w:rFonts w:cs="Arial"/>
                <w:bCs/>
                <w:sz w:val="24"/>
                <w:szCs w:val="24"/>
              </w:rPr>
              <w:t>0,00</w:t>
            </w:r>
          </w:p>
        </w:tc>
        <w:tc>
          <w:tcPr>
            <w:tcW w:w="1559" w:type="dxa"/>
            <w:vAlign w:val="center"/>
          </w:tcPr>
          <w:p w:rsidR="002A2626" w:rsidRPr="002A2626" w:rsidRDefault="002A2626" w:rsidP="002A2626">
            <w:pPr>
              <w:spacing w:line="300" w:lineRule="auto"/>
              <w:rPr>
                <w:rFonts w:cs="Arial"/>
                <w:bCs/>
                <w:sz w:val="24"/>
                <w:szCs w:val="24"/>
              </w:rPr>
            </w:pPr>
            <w:r w:rsidRPr="002A2626">
              <w:rPr>
                <w:rFonts w:cs="Arial"/>
                <w:bCs/>
                <w:sz w:val="24"/>
                <w:szCs w:val="24"/>
              </w:rPr>
              <w:t>147.500,00</w:t>
            </w:r>
          </w:p>
        </w:tc>
        <w:tc>
          <w:tcPr>
            <w:tcW w:w="1106" w:type="dxa"/>
            <w:vAlign w:val="center"/>
          </w:tcPr>
          <w:p w:rsidR="002A2626" w:rsidRPr="002A2626" w:rsidRDefault="002A2626" w:rsidP="002A2626">
            <w:pPr>
              <w:rPr>
                <w:rFonts w:cs="Arial"/>
                <w:bCs/>
                <w:sz w:val="24"/>
                <w:szCs w:val="24"/>
              </w:rPr>
            </w:pPr>
            <w:r w:rsidRPr="002A2626">
              <w:rPr>
                <w:rFonts w:cs="Arial"/>
                <w:bCs/>
                <w:sz w:val="24"/>
                <w:szCs w:val="24"/>
              </w:rPr>
              <w:t>-100,00%</w:t>
            </w:r>
          </w:p>
        </w:tc>
      </w:tr>
      <w:tr w:rsidR="002A2626" w:rsidRPr="002A2626" w:rsidTr="00853C79">
        <w:trPr>
          <w:jc w:val="center"/>
        </w:trPr>
        <w:tc>
          <w:tcPr>
            <w:tcW w:w="4219" w:type="dxa"/>
            <w:vAlign w:val="center"/>
          </w:tcPr>
          <w:p w:rsidR="002A2626" w:rsidRPr="002A2626" w:rsidRDefault="002A2626" w:rsidP="002A2626">
            <w:pPr>
              <w:spacing w:line="300" w:lineRule="auto"/>
              <w:rPr>
                <w:rFonts w:cs="Arial"/>
                <w:b/>
                <w:bCs/>
                <w:sz w:val="24"/>
                <w:szCs w:val="24"/>
              </w:rPr>
            </w:pPr>
          </w:p>
        </w:tc>
        <w:tc>
          <w:tcPr>
            <w:tcW w:w="1593" w:type="dxa"/>
            <w:vAlign w:val="center"/>
          </w:tcPr>
          <w:p w:rsidR="002A2626" w:rsidRPr="002A2626" w:rsidRDefault="002A2626" w:rsidP="002A2626">
            <w:pPr>
              <w:rPr>
                <w:rFonts w:cs="Arial"/>
                <w:b/>
                <w:bCs/>
                <w:sz w:val="24"/>
                <w:szCs w:val="24"/>
              </w:rPr>
            </w:pPr>
            <w:r w:rsidRPr="002A2626">
              <w:rPr>
                <w:rFonts w:cs="Arial"/>
                <w:b/>
                <w:bCs/>
                <w:sz w:val="24"/>
                <w:szCs w:val="24"/>
              </w:rPr>
              <w:t>1.928.284,42</w:t>
            </w:r>
          </w:p>
        </w:tc>
        <w:tc>
          <w:tcPr>
            <w:tcW w:w="1559" w:type="dxa"/>
            <w:vAlign w:val="center"/>
          </w:tcPr>
          <w:p w:rsidR="002A2626" w:rsidRPr="002A2626" w:rsidRDefault="002A2626" w:rsidP="002A2626">
            <w:pPr>
              <w:rPr>
                <w:rFonts w:cs="Arial"/>
                <w:b/>
                <w:bCs/>
                <w:sz w:val="24"/>
                <w:szCs w:val="24"/>
              </w:rPr>
            </w:pPr>
            <w:r w:rsidRPr="002A2626">
              <w:rPr>
                <w:rFonts w:cs="Arial"/>
                <w:b/>
                <w:bCs/>
                <w:sz w:val="24"/>
                <w:szCs w:val="24"/>
              </w:rPr>
              <w:t>3.634.885,00</w:t>
            </w:r>
          </w:p>
        </w:tc>
        <w:tc>
          <w:tcPr>
            <w:tcW w:w="1106" w:type="dxa"/>
            <w:vAlign w:val="center"/>
          </w:tcPr>
          <w:p w:rsidR="002A2626" w:rsidRPr="002A2626" w:rsidRDefault="002A2626" w:rsidP="002A2626">
            <w:pPr>
              <w:rPr>
                <w:rFonts w:cs="Arial"/>
                <w:b/>
                <w:bCs/>
                <w:sz w:val="24"/>
                <w:szCs w:val="24"/>
              </w:rPr>
            </w:pPr>
            <w:r w:rsidRPr="002A2626">
              <w:rPr>
                <w:rFonts w:cs="Arial"/>
                <w:b/>
                <w:bCs/>
                <w:sz w:val="24"/>
                <w:szCs w:val="24"/>
              </w:rPr>
              <w:t>-46,95%</w:t>
            </w:r>
          </w:p>
        </w:tc>
      </w:tr>
    </w:tbl>
    <w:p w:rsidR="002A2626" w:rsidRPr="002A2626" w:rsidRDefault="002A2626" w:rsidP="002A2626">
      <w:pPr>
        <w:pStyle w:val="Prrafodelista"/>
        <w:spacing w:before="120" w:after="120" w:line="300" w:lineRule="auto"/>
        <w:ind w:left="0" w:firstLine="567"/>
        <w:jc w:val="both"/>
        <w:rPr>
          <w:rFonts w:ascii="Arial" w:hAnsi="Arial" w:cs="Arial"/>
          <w:bCs/>
          <w:sz w:val="24"/>
          <w:szCs w:val="24"/>
        </w:rPr>
      </w:pPr>
    </w:p>
    <w:p w:rsidR="002A2626" w:rsidRPr="002A2626" w:rsidRDefault="002A2626" w:rsidP="002A2626">
      <w:pPr>
        <w:pStyle w:val="Prrafodelista"/>
        <w:spacing w:after="120" w:line="300" w:lineRule="auto"/>
        <w:ind w:left="0" w:firstLine="709"/>
        <w:jc w:val="both"/>
        <w:rPr>
          <w:rFonts w:ascii="Arial" w:hAnsi="Arial" w:cs="Arial"/>
          <w:bCs/>
          <w:sz w:val="24"/>
          <w:szCs w:val="24"/>
        </w:rPr>
      </w:pPr>
      <w:r w:rsidRPr="002A2626">
        <w:rPr>
          <w:rFonts w:ascii="Arial" w:hAnsi="Arial" w:cs="Arial"/>
          <w:bCs/>
          <w:sz w:val="24"/>
          <w:szCs w:val="24"/>
        </w:rPr>
        <w:t xml:space="preserve">El Acuerdo de finalización de huelga aprobado por el Pleno el 28 de junio de 2017, en el que se recogía, entre otros puntos, la apertura de nuevos Parques de Bomberos en la isla, dio lugar a que durante el ejercicio 2018, el Cabildo Insular de Tenerife financiera gran parte de las inversiones </w:t>
      </w:r>
      <w:proofErr w:type="spellStart"/>
      <w:r w:rsidRPr="002A2626">
        <w:rPr>
          <w:rFonts w:ascii="Arial" w:hAnsi="Arial" w:cs="Arial"/>
          <w:bCs/>
          <w:sz w:val="24"/>
          <w:szCs w:val="24"/>
        </w:rPr>
        <w:t>iniciales</w:t>
      </w:r>
      <w:proofErr w:type="spellEnd"/>
      <w:r w:rsidRPr="002A2626">
        <w:rPr>
          <w:rFonts w:ascii="Arial" w:hAnsi="Arial" w:cs="Arial"/>
          <w:bCs/>
          <w:sz w:val="24"/>
          <w:szCs w:val="24"/>
        </w:rPr>
        <w:t xml:space="preserve"> para habilitar y poner en funcionamiento los nuevos Parques (rehabilitación de los edificios, la adquisición de nueve vehículos…), que supuso una aportación específica de 2.104.080,00 euros.</w:t>
      </w:r>
    </w:p>
    <w:p w:rsidR="002A2626" w:rsidRPr="002A2626" w:rsidRDefault="002A2626" w:rsidP="002A2626">
      <w:pPr>
        <w:pStyle w:val="Prrafodelista"/>
        <w:spacing w:after="120" w:line="300" w:lineRule="auto"/>
        <w:ind w:left="0" w:firstLine="709"/>
        <w:jc w:val="both"/>
        <w:rPr>
          <w:rFonts w:ascii="Arial" w:hAnsi="Arial" w:cs="Arial"/>
          <w:bCs/>
          <w:sz w:val="24"/>
          <w:szCs w:val="24"/>
        </w:rPr>
      </w:pPr>
      <w:r w:rsidRPr="002A2626">
        <w:rPr>
          <w:rFonts w:ascii="Arial" w:hAnsi="Arial" w:cs="Arial"/>
          <w:bCs/>
          <w:sz w:val="24"/>
          <w:szCs w:val="24"/>
        </w:rPr>
        <w:lastRenderedPageBreak/>
        <w:t xml:space="preserve">Para el ejercicio 2019, la inversión para el nuevo Parque de Bomberos de </w:t>
      </w:r>
      <w:proofErr w:type="spellStart"/>
      <w:r w:rsidRPr="002A2626">
        <w:rPr>
          <w:rFonts w:ascii="Arial" w:hAnsi="Arial" w:cs="Arial"/>
          <w:bCs/>
          <w:sz w:val="24"/>
          <w:szCs w:val="24"/>
        </w:rPr>
        <w:t>Güímar</w:t>
      </w:r>
      <w:proofErr w:type="spellEnd"/>
      <w:r w:rsidRPr="002A2626">
        <w:rPr>
          <w:rFonts w:ascii="Arial" w:hAnsi="Arial" w:cs="Arial"/>
          <w:bCs/>
          <w:sz w:val="24"/>
          <w:szCs w:val="24"/>
        </w:rPr>
        <w:t>, cuya puesta en funcionamiento se prevé para julio de 2019, asciende a 378.990,00 euros, que nuevamente será financiada íntegramente por el Cabildo de Tenerife. En ella se incluye obras de acondicionamiento del edificio, mobiliario, herramientas, equipos de gimnasio, material técnico operativo…</w:t>
      </w:r>
    </w:p>
    <w:p w:rsidR="002A2626" w:rsidRPr="002A2626" w:rsidRDefault="002A2626" w:rsidP="002A2626">
      <w:pPr>
        <w:pStyle w:val="Prrafodelista"/>
        <w:spacing w:after="120" w:line="300" w:lineRule="auto"/>
        <w:ind w:left="0" w:firstLine="709"/>
        <w:jc w:val="both"/>
        <w:rPr>
          <w:rFonts w:ascii="Arial" w:hAnsi="Arial" w:cs="Arial"/>
          <w:bCs/>
          <w:sz w:val="24"/>
          <w:szCs w:val="24"/>
        </w:rPr>
      </w:pPr>
      <w:r w:rsidRPr="002A2626">
        <w:rPr>
          <w:rFonts w:ascii="Arial" w:hAnsi="Arial" w:cs="Arial"/>
          <w:bCs/>
          <w:sz w:val="24"/>
          <w:szCs w:val="24"/>
        </w:rPr>
        <w:t>La disminución de la inversión para los nuevos Parques de Bomberos, equivale a la disminución del capítulo VI del Presupuesto del 2019, manteniéndose el importe para inversiones de los parques actuales.</w:t>
      </w:r>
    </w:p>
    <w:p w:rsidR="002A2626" w:rsidRPr="002A2626" w:rsidRDefault="002A2626" w:rsidP="002A2626">
      <w:pPr>
        <w:pStyle w:val="Prrafodelista"/>
        <w:spacing w:before="120" w:after="120" w:line="300" w:lineRule="auto"/>
        <w:ind w:left="0" w:firstLine="709"/>
        <w:jc w:val="both"/>
        <w:rPr>
          <w:rFonts w:ascii="Arial" w:hAnsi="Arial" w:cs="Arial"/>
          <w:bCs/>
          <w:sz w:val="24"/>
          <w:szCs w:val="24"/>
        </w:rPr>
      </w:pPr>
    </w:p>
    <w:p w:rsidR="002A2626" w:rsidRPr="002A2626" w:rsidRDefault="002A2626" w:rsidP="002A2626">
      <w:pPr>
        <w:pStyle w:val="Prrafodelista"/>
        <w:spacing w:before="120" w:after="120" w:line="300" w:lineRule="auto"/>
        <w:ind w:left="0" w:firstLine="709"/>
        <w:jc w:val="both"/>
        <w:rPr>
          <w:rFonts w:ascii="Arial" w:hAnsi="Arial" w:cs="Arial"/>
          <w:bCs/>
          <w:sz w:val="24"/>
          <w:szCs w:val="24"/>
        </w:rPr>
      </w:pPr>
      <w:r w:rsidRPr="002A2626">
        <w:rPr>
          <w:rFonts w:ascii="Arial" w:hAnsi="Arial" w:cs="Arial"/>
          <w:bCs/>
          <w:sz w:val="24"/>
          <w:szCs w:val="24"/>
        </w:rPr>
        <w:t>En cuanto a las inversiones previstas para los Parques actuales, destacan las siguientes:</w:t>
      </w:r>
    </w:p>
    <w:p w:rsidR="002A2626" w:rsidRPr="002A2626" w:rsidRDefault="002A2626" w:rsidP="002A2626">
      <w:pPr>
        <w:pStyle w:val="Prrafodelista"/>
        <w:spacing w:before="120" w:after="120" w:line="300" w:lineRule="auto"/>
        <w:ind w:left="0" w:firstLine="709"/>
        <w:jc w:val="both"/>
        <w:rPr>
          <w:rFonts w:ascii="Arial" w:hAnsi="Arial" w:cs="Arial"/>
          <w:bCs/>
          <w:sz w:val="24"/>
          <w:szCs w:val="24"/>
        </w:rPr>
      </w:pPr>
    </w:p>
    <w:p w:rsidR="002A2626" w:rsidRPr="002A2626" w:rsidRDefault="002A2626" w:rsidP="002A2626">
      <w:pPr>
        <w:pStyle w:val="Prrafodelista"/>
        <w:numPr>
          <w:ilvl w:val="0"/>
          <w:numId w:val="7"/>
        </w:numPr>
        <w:autoSpaceDE w:val="0"/>
        <w:autoSpaceDN w:val="0"/>
        <w:spacing w:before="120" w:after="0" w:line="300" w:lineRule="auto"/>
        <w:ind w:left="709" w:firstLine="0"/>
        <w:jc w:val="both"/>
        <w:rPr>
          <w:rFonts w:ascii="Arial" w:hAnsi="Arial" w:cs="Arial"/>
          <w:bCs/>
          <w:sz w:val="24"/>
          <w:szCs w:val="24"/>
        </w:rPr>
      </w:pPr>
      <w:proofErr w:type="spellStart"/>
      <w:r w:rsidRPr="002A2626">
        <w:rPr>
          <w:rFonts w:ascii="Arial" w:hAnsi="Arial" w:cs="Arial"/>
          <w:bCs/>
          <w:sz w:val="24"/>
          <w:szCs w:val="24"/>
        </w:rPr>
        <w:t>Cuatrovehículos</w:t>
      </w:r>
      <w:proofErr w:type="spellEnd"/>
      <w:r w:rsidRPr="002A2626">
        <w:rPr>
          <w:rFonts w:ascii="Arial" w:hAnsi="Arial" w:cs="Arial"/>
          <w:bCs/>
          <w:sz w:val="24"/>
          <w:szCs w:val="24"/>
        </w:rPr>
        <w:t xml:space="preserve"> de emergencias: un vehículo autobomba urbana nodriza (BUN) para el Parque de La Laguna, dos unidades de mando y control (UMC) para los parques de La Laguna e </w:t>
      </w:r>
      <w:proofErr w:type="spellStart"/>
      <w:r w:rsidRPr="002A2626">
        <w:rPr>
          <w:rFonts w:ascii="Arial" w:hAnsi="Arial" w:cs="Arial"/>
          <w:bCs/>
          <w:sz w:val="24"/>
          <w:szCs w:val="24"/>
        </w:rPr>
        <w:t>Icod</w:t>
      </w:r>
      <w:proofErr w:type="spellEnd"/>
      <w:r w:rsidRPr="002A2626">
        <w:rPr>
          <w:rFonts w:ascii="Arial" w:hAnsi="Arial" w:cs="Arial"/>
          <w:bCs/>
          <w:sz w:val="24"/>
          <w:szCs w:val="24"/>
        </w:rPr>
        <w:t xml:space="preserve">, una furgoneta para logística ubicada en el Parque de Bomberos de Santa Cruz, por importe de 495.000 euros. </w:t>
      </w:r>
    </w:p>
    <w:p w:rsidR="002A2626" w:rsidRPr="002A2626" w:rsidRDefault="002A2626" w:rsidP="002A2626">
      <w:pPr>
        <w:pStyle w:val="Prrafodelista"/>
        <w:numPr>
          <w:ilvl w:val="0"/>
          <w:numId w:val="7"/>
        </w:numPr>
        <w:autoSpaceDE w:val="0"/>
        <w:autoSpaceDN w:val="0"/>
        <w:spacing w:before="120" w:after="0" w:line="300" w:lineRule="auto"/>
        <w:ind w:left="709" w:firstLine="0"/>
        <w:jc w:val="both"/>
        <w:rPr>
          <w:rFonts w:ascii="Arial" w:hAnsi="Arial" w:cs="Arial"/>
          <w:bCs/>
          <w:sz w:val="24"/>
          <w:szCs w:val="24"/>
        </w:rPr>
      </w:pPr>
      <w:r w:rsidRPr="002A2626">
        <w:rPr>
          <w:rFonts w:ascii="Arial" w:hAnsi="Arial" w:cs="Arial"/>
          <w:bCs/>
          <w:sz w:val="24"/>
          <w:szCs w:val="24"/>
        </w:rPr>
        <w:t xml:space="preserve">Dotar a todos los vehículos de bocinas, rotativos y luces </w:t>
      </w:r>
      <w:proofErr w:type="spellStart"/>
      <w:r w:rsidRPr="002A2626">
        <w:rPr>
          <w:rFonts w:ascii="Arial" w:hAnsi="Arial" w:cs="Arial"/>
          <w:bCs/>
          <w:sz w:val="24"/>
          <w:szCs w:val="24"/>
        </w:rPr>
        <w:t>estroboscópicas</w:t>
      </w:r>
      <w:proofErr w:type="spellEnd"/>
      <w:r w:rsidRPr="002A2626">
        <w:rPr>
          <w:rFonts w:ascii="Arial" w:hAnsi="Arial" w:cs="Arial"/>
          <w:bCs/>
          <w:sz w:val="24"/>
          <w:szCs w:val="24"/>
        </w:rPr>
        <w:t xml:space="preserve"> nuevas, en cumplimiento de la nueva legislación, 99.000 euros.</w:t>
      </w:r>
    </w:p>
    <w:p w:rsidR="002A2626" w:rsidRPr="002A2626" w:rsidRDefault="002A2626" w:rsidP="002A2626">
      <w:pPr>
        <w:pStyle w:val="Prrafodelista"/>
        <w:numPr>
          <w:ilvl w:val="0"/>
          <w:numId w:val="7"/>
        </w:numPr>
        <w:autoSpaceDE w:val="0"/>
        <w:autoSpaceDN w:val="0"/>
        <w:spacing w:before="120" w:after="0" w:line="300" w:lineRule="auto"/>
        <w:ind w:left="709" w:firstLine="0"/>
        <w:jc w:val="both"/>
        <w:rPr>
          <w:rFonts w:ascii="Arial" w:hAnsi="Arial" w:cs="Arial"/>
          <w:bCs/>
          <w:sz w:val="24"/>
          <w:szCs w:val="24"/>
        </w:rPr>
      </w:pPr>
      <w:r w:rsidRPr="002A2626">
        <w:rPr>
          <w:rFonts w:ascii="Arial" w:hAnsi="Arial" w:cs="Arial"/>
          <w:bCs/>
          <w:sz w:val="24"/>
          <w:szCs w:val="24"/>
        </w:rPr>
        <w:t xml:space="preserve">Inversiones de material técnico operativo por importe total del 189.246,00 euros (camillas de rescate, equipos excarcelación, generadores, </w:t>
      </w:r>
      <w:proofErr w:type="spellStart"/>
      <w:r w:rsidRPr="002A2626">
        <w:rPr>
          <w:rFonts w:ascii="Arial" w:hAnsi="Arial" w:cs="Arial"/>
          <w:bCs/>
          <w:sz w:val="24"/>
          <w:szCs w:val="24"/>
        </w:rPr>
        <w:t>EPI´s</w:t>
      </w:r>
      <w:proofErr w:type="spellEnd"/>
      <w:r w:rsidRPr="002A2626">
        <w:rPr>
          <w:rFonts w:ascii="Arial" w:hAnsi="Arial" w:cs="Arial"/>
          <w:bCs/>
          <w:sz w:val="24"/>
          <w:szCs w:val="24"/>
        </w:rPr>
        <w:t xml:space="preserve"> respiratorios.</w:t>
      </w:r>
    </w:p>
    <w:p w:rsidR="002A2626" w:rsidRPr="002A2626" w:rsidRDefault="002A2626" w:rsidP="002A2626">
      <w:pPr>
        <w:pStyle w:val="Prrafodelista"/>
        <w:numPr>
          <w:ilvl w:val="0"/>
          <w:numId w:val="7"/>
        </w:numPr>
        <w:autoSpaceDE w:val="0"/>
        <w:autoSpaceDN w:val="0"/>
        <w:spacing w:before="120" w:after="0" w:line="300" w:lineRule="auto"/>
        <w:ind w:left="709" w:firstLine="0"/>
        <w:jc w:val="both"/>
        <w:rPr>
          <w:rFonts w:ascii="Arial" w:hAnsi="Arial" w:cs="Arial"/>
          <w:bCs/>
          <w:sz w:val="24"/>
          <w:szCs w:val="24"/>
        </w:rPr>
      </w:pPr>
      <w:r w:rsidRPr="002A2626">
        <w:rPr>
          <w:rFonts w:ascii="Arial" w:hAnsi="Arial" w:cs="Arial"/>
          <w:bCs/>
          <w:sz w:val="24"/>
          <w:szCs w:val="24"/>
        </w:rPr>
        <w:t>Herramientas (</w:t>
      </w:r>
      <w:proofErr w:type="spellStart"/>
      <w:r w:rsidRPr="002A2626">
        <w:rPr>
          <w:rFonts w:ascii="Arial" w:hAnsi="Arial" w:cs="Arial"/>
          <w:bCs/>
          <w:sz w:val="24"/>
          <w:szCs w:val="24"/>
        </w:rPr>
        <w:t>motosierras</w:t>
      </w:r>
      <w:proofErr w:type="spellEnd"/>
      <w:r w:rsidRPr="002A2626">
        <w:rPr>
          <w:rFonts w:ascii="Arial" w:hAnsi="Arial" w:cs="Arial"/>
          <w:bCs/>
          <w:sz w:val="24"/>
          <w:szCs w:val="24"/>
        </w:rPr>
        <w:t>, taladro percutor, martillo eléctrico,…), que asciende a 115.050 euros.</w:t>
      </w:r>
    </w:p>
    <w:p w:rsidR="002A2626" w:rsidRPr="002A2626" w:rsidRDefault="002A2626" w:rsidP="002A2626">
      <w:pPr>
        <w:pStyle w:val="Prrafodelista"/>
        <w:numPr>
          <w:ilvl w:val="0"/>
          <w:numId w:val="7"/>
        </w:numPr>
        <w:autoSpaceDE w:val="0"/>
        <w:autoSpaceDN w:val="0"/>
        <w:spacing w:before="120" w:after="0" w:line="300" w:lineRule="auto"/>
        <w:ind w:left="709" w:firstLine="0"/>
        <w:jc w:val="both"/>
        <w:rPr>
          <w:rFonts w:ascii="Arial" w:hAnsi="Arial" w:cs="Arial"/>
          <w:bCs/>
          <w:sz w:val="24"/>
          <w:szCs w:val="24"/>
        </w:rPr>
      </w:pPr>
      <w:r w:rsidRPr="002A2626">
        <w:rPr>
          <w:rFonts w:ascii="Arial" w:hAnsi="Arial" w:cs="Arial"/>
          <w:bCs/>
          <w:sz w:val="24"/>
          <w:szCs w:val="24"/>
        </w:rPr>
        <w:t>Obras auxiliares en los Parques de San Miguel y La Laguna (altillo en el gimnasio, ampliación de baños y dormitorios, puerta cochera), y dotar a todos los Parques de línea eléctrica y tuberías de aire para conexión con vehículos. Este importe asciende a 405.100 euros.</w:t>
      </w:r>
    </w:p>
    <w:p w:rsidR="002A2626" w:rsidRPr="002A2626" w:rsidRDefault="002A2626" w:rsidP="002A2626">
      <w:pPr>
        <w:pStyle w:val="Prrafodelista"/>
        <w:numPr>
          <w:ilvl w:val="0"/>
          <w:numId w:val="7"/>
        </w:numPr>
        <w:autoSpaceDE w:val="0"/>
        <w:autoSpaceDN w:val="0"/>
        <w:spacing w:before="120" w:after="0" w:line="300" w:lineRule="auto"/>
        <w:ind w:left="709" w:firstLine="0"/>
        <w:jc w:val="both"/>
        <w:rPr>
          <w:rFonts w:ascii="Arial" w:hAnsi="Arial" w:cs="Arial"/>
          <w:bCs/>
          <w:sz w:val="24"/>
          <w:szCs w:val="24"/>
        </w:rPr>
      </w:pPr>
      <w:r w:rsidRPr="002A2626">
        <w:rPr>
          <w:rFonts w:ascii="Arial" w:hAnsi="Arial" w:cs="Arial"/>
          <w:bCs/>
          <w:sz w:val="24"/>
          <w:szCs w:val="24"/>
        </w:rPr>
        <w:t xml:space="preserve">Obras de rehabilitación </w:t>
      </w:r>
      <w:proofErr w:type="spellStart"/>
      <w:r w:rsidRPr="002A2626">
        <w:rPr>
          <w:rFonts w:ascii="Arial" w:hAnsi="Arial" w:cs="Arial"/>
          <w:bCs/>
          <w:sz w:val="24"/>
          <w:szCs w:val="24"/>
        </w:rPr>
        <w:t>delos</w:t>
      </w:r>
      <w:proofErr w:type="spellEnd"/>
      <w:r w:rsidRPr="002A2626">
        <w:rPr>
          <w:rFonts w:ascii="Arial" w:hAnsi="Arial" w:cs="Arial"/>
          <w:bCs/>
          <w:sz w:val="24"/>
          <w:szCs w:val="24"/>
        </w:rPr>
        <w:t xml:space="preserve"> Parques de San Miguel e </w:t>
      </w:r>
      <w:proofErr w:type="spellStart"/>
      <w:r w:rsidRPr="002A2626">
        <w:rPr>
          <w:rFonts w:ascii="Arial" w:hAnsi="Arial" w:cs="Arial"/>
          <w:bCs/>
          <w:sz w:val="24"/>
          <w:szCs w:val="24"/>
        </w:rPr>
        <w:t>Icod</w:t>
      </w:r>
      <w:proofErr w:type="spellEnd"/>
      <w:r w:rsidRPr="002A2626">
        <w:rPr>
          <w:rFonts w:ascii="Arial" w:hAnsi="Arial" w:cs="Arial"/>
          <w:bCs/>
          <w:sz w:val="24"/>
          <w:szCs w:val="24"/>
        </w:rPr>
        <w:t>, principalmente, por importe de 141.058,42 euros</w:t>
      </w:r>
    </w:p>
    <w:p w:rsidR="002A2626" w:rsidRPr="002A2626" w:rsidRDefault="002A2626" w:rsidP="002A2626">
      <w:pPr>
        <w:pStyle w:val="Prrafodelista"/>
        <w:numPr>
          <w:ilvl w:val="0"/>
          <w:numId w:val="7"/>
        </w:numPr>
        <w:autoSpaceDE w:val="0"/>
        <w:autoSpaceDN w:val="0"/>
        <w:spacing w:before="120" w:after="0" w:line="300" w:lineRule="auto"/>
        <w:ind w:left="709" w:firstLine="0"/>
        <w:jc w:val="both"/>
        <w:rPr>
          <w:rFonts w:ascii="Arial" w:hAnsi="Arial" w:cs="Arial"/>
          <w:bCs/>
          <w:sz w:val="24"/>
          <w:szCs w:val="24"/>
        </w:rPr>
      </w:pPr>
      <w:r w:rsidRPr="002A2626">
        <w:rPr>
          <w:rFonts w:ascii="Arial" w:hAnsi="Arial" w:cs="Arial"/>
          <w:bCs/>
          <w:sz w:val="24"/>
          <w:szCs w:val="24"/>
        </w:rPr>
        <w:t xml:space="preserve">Equipos de comunicación, como el repetidor de </w:t>
      </w:r>
      <w:proofErr w:type="spellStart"/>
      <w:r w:rsidRPr="002A2626">
        <w:rPr>
          <w:rFonts w:ascii="Arial" w:hAnsi="Arial" w:cs="Arial"/>
          <w:bCs/>
          <w:sz w:val="24"/>
          <w:szCs w:val="24"/>
        </w:rPr>
        <w:t>Arguayo</w:t>
      </w:r>
      <w:proofErr w:type="spellEnd"/>
      <w:r w:rsidRPr="002A2626">
        <w:rPr>
          <w:rFonts w:ascii="Arial" w:hAnsi="Arial" w:cs="Arial"/>
          <w:bCs/>
          <w:sz w:val="24"/>
          <w:szCs w:val="24"/>
        </w:rPr>
        <w:t>, conexión a la fibra óptica, emisoras DMR y Tetra, que conjuntamente alcanzan 96.800 euros.</w:t>
      </w:r>
    </w:p>
    <w:p w:rsidR="002A2626" w:rsidRPr="002A2626" w:rsidRDefault="002A2626" w:rsidP="002A2626">
      <w:pPr>
        <w:pStyle w:val="Prrafodelista"/>
        <w:spacing w:before="120" w:line="300" w:lineRule="auto"/>
        <w:ind w:left="0" w:firstLine="709"/>
        <w:jc w:val="both"/>
        <w:rPr>
          <w:rFonts w:ascii="Arial" w:hAnsi="Arial" w:cs="Arial"/>
          <w:bCs/>
          <w:color w:val="FF0000"/>
          <w:sz w:val="24"/>
          <w:szCs w:val="24"/>
        </w:rPr>
      </w:pPr>
    </w:p>
    <w:p w:rsidR="002A2626" w:rsidRPr="002A2626" w:rsidRDefault="002A2626" w:rsidP="002A2626">
      <w:pPr>
        <w:pStyle w:val="Prrafodelista"/>
        <w:spacing w:before="120" w:line="300" w:lineRule="auto"/>
        <w:ind w:left="0" w:firstLine="709"/>
        <w:jc w:val="both"/>
        <w:rPr>
          <w:rFonts w:ascii="Arial" w:hAnsi="Arial" w:cs="Arial"/>
          <w:bCs/>
          <w:sz w:val="24"/>
          <w:szCs w:val="24"/>
        </w:rPr>
      </w:pPr>
      <w:r w:rsidRPr="002A2626">
        <w:rPr>
          <w:rFonts w:ascii="Arial" w:hAnsi="Arial" w:cs="Arial"/>
          <w:bCs/>
          <w:sz w:val="24"/>
          <w:szCs w:val="24"/>
        </w:rPr>
        <w:t>Por lo expuesto, el capítulo VI supone el 10,01% del total del Presupuesto de 2019.</w:t>
      </w:r>
    </w:p>
    <w:p w:rsidR="002A2626" w:rsidRPr="002A2626" w:rsidRDefault="002A2626" w:rsidP="002A2626">
      <w:pPr>
        <w:pStyle w:val="Prrafodelista"/>
        <w:spacing w:before="120" w:line="300" w:lineRule="auto"/>
        <w:ind w:left="1789"/>
        <w:jc w:val="both"/>
        <w:rPr>
          <w:rFonts w:ascii="Arial" w:hAnsi="Arial" w:cs="Arial"/>
          <w:bCs/>
          <w:color w:val="FF0000"/>
          <w:sz w:val="24"/>
          <w:szCs w:val="24"/>
        </w:rPr>
      </w:pPr>
    </w:p>
    <w:p w:rsidR="002A2626" w:rsidRPr="002A2626" w:rsidRDefault="002A2626" w:rsidP="002A2626">
      <w:pPr>
        <w:pStyle w:val="Prrafodelista"/>
        <w:numPr>
          <w:ilvl w:val="0"/>
          <w:numId w:val="7"/>
        </w:numPr>
        <w:tabs>
          <w:tab w:val="clear" w:pos="1080"/>
        </w:tabs>
        <w:autoSpaceDE w:val="0"/>
        <w:autoSpaceDN w:val="0"/>
        <w:spacing w:before="120" w:after="0" w:line="300" w:lineRule="auto"/>
        <w:ind w:left="1134" w:hanging="425"/>
        <w:jc w:val="both"/>
        <w:rPr>
          <w:rFonts w:ascii="Arial" w:hAnsi="Arial" w:cs="Arial"/>
          <w:bCs/>
          <w:sz w:val="24"/>
          <w:szCs w:val="24"/>
        </w:rPr>
      </w:pPr>
      <w:r w:rsidRPr="002A2626">
        <w:rPr>
          <w:rFonts w:ascii="Arial" w:hAnsi="Arial" w:cs="Arial"/>
          <w:b/>
          <w:bCs/>
          <w:i/>
          <w:sz w:val="24"/>
          <w:szCs w:val="24"/>
        </w:rPr>
        <w:t xml:space="preserve"> Capítulo VII, Transferencias de capital</w:t>
      </w:r>
    </w:p>
    <w:p w:rsidR="002A2626" w:rsidRPr="002A2626" w:rsidRDefault="002A2626" w:rsidP="002A2626">
      <w:pPr>
        <w:pStyle w:val="Prrafodelista"/>
        <w:spacing w:before="120" w:line="300" w:lineRule="auto"/>
        <w:ind w:left="0" w:firstLine="709"/>
        <w:jc w:val="both"/>
        <w:rPr>
          <w:rFonts w:ascii="Arial" w:hAnsi="Arial" w:cs="Arial"/>
          <w:bCs/>
          <w:sz w:val="24"/>
          <w:szCs w:val="24"/>
        </w:rPr>
      </w:pPr>
      <w:r w:rsidRPr="002A2626">
        <w:rPr>
          <w:rFonts w:ascii="Arial" w:hAnsi="Arial" w:cs="Arial"/>
          <w:bCs/>
          <w:sz w:val="24"/>
          <w:szCs w:val="24"/>
        </w:rPr>
        <w:t xml:space="preserve"> Este capítulo se cifra en 120.000,00 euros, y recoge las subvenciones nominativas para gastos de inversión a las Asociaciones de Bomberos Voluntarios.</w:t>
      </w:r>
    </w:p>
    <w:p w:rsidR="002A2626" w:rsidRPr="002A2626" w:rsidRDefault="002A2626" w:rsidP="002A2626">
      <w:pPr>
        <w:pStyle w:val="Prrafodelista"/>
        <w:spacing w:before="120" w:line="300" w:lineRule="auto"/>
        <w:ind w:left="0" w:firstLine="709"/>
        <w:jc w:val="both"/>
        <w:rPr>
          <w:rFonts w:ascii="Arial" w:hAnsi="Arial" w:cs="Arial"/>
          <w:bCs/>
          <w:sz w:val="24"/>
          <w:szCs w:val="24"/>
        </w:rPr>
      </w:pPr>
      <w:r w:rsidRPr="002A2626">
        <w:rPr>
          <w:rFonts w:ascii="Arial" w:hAnsi="Arial" w:cs="Arial"/>
          <w:bCs/>
          <w:sz w:val="24"/>
          <w:szCs w:val="24"/>
        </w:rPr>
        <w:t>El peso de este capítulo en el total del Presupuesto es del 0,62%.</w:t>
      </w:r>
    </w:p>
    <w:p w:rsidR="002A2626" w:rsidRPr="002A2626" w:rsidRDefault="002A2626" w:rsidP="002A2626">
      <w:pPr>
        <w:pStyle w:val="Prrafodelista"/>
        <w:spacing w:before="120" w:line="300" w:lineRule="auto"/>
        <w:ind w:left="1789"/>
        <w:jc w:val="both"/>
        <w:rPr>
          <w:rFonts w:ascii="Arial" w:hAnsi="Arial" w:cs="Arial"/>
          <w:bCs/>
          <w:color w:val="FF0000"/>
          <w:sz w:val="24"/>
          <w:szCs w:val="24"/>
        </w:rPr>
      </w:pPr>
    </w:p>
    <w:p w:rsidR="002A2626" w:rsidRPr="002A2626" w:rsidRDefault="002A2626" w:rsidP="002A2626">
      <w:pPr>
        <w:pStyle w:val="Prrafodelista"/>
        <w:numPr>
          <w:ilvl w:val="0"/>
          <w:numId w:val="7"/>
        </w:numPr>
        <w:tabs>
          <w:tab w:val="clear" w:pos="1080"/>
        </w:tabs>
        <w:autoSpaceDE w:val="0"/>
        <w:autoSpaceDN w:val="0"/>
        <w:spacing w:before="120" w:after="0" w:line="300" w:lineRule="auto"/>
        <w:ind w:left="1134" w:hanging="425"/>
        <w:jc w:val="both"/>
        <w:rPr>
          <w:rFonts w:ascii="Arial" w:hAnsi="Arial" w:cs="Arial"/>
          <w:bCs/>
          <w:sz w:val="24"/>
          <w:szCs w:val="24"/>
        </w:rPr>
      </w:pPr>
      <w:r w:rsidRPr="002A2626">
        <w:rPr>
          <w:rFonts w:ascii="Arial" w:hAnsi="Arial" w:cs="Arial"/>
          <w:b/>
          <w:bCs/>
          <w:i/>
          <w:sz w:val="24"/>
          <w:szCs w:val="24"/>
        </w:rPr>
        <w:t xml:space="preserve"> Capítulo VIII, Activos financieros</w:t>
      </w:r>
    </w:p>
    <w:p w:rsidR="002A2626" w:rsidRPr="002A2626" w:rsidRDefault="002A2626" w:rsidP="002A2626">
      <w:pPr>
        <w:spacing w:before="120" w:line="300" w:lineRule="auto"/>
        <w:ind w:firstLine="709"/>
        <w:rPr>
          <w:rFonts w:cs="Arial"/>
          <w:bCs/>
          <w:sz w:val="24"/>
          <w:szCs w:val="24"/>
        </w:rPr>
      </w:pPr>
      <w:r w:rsidRPr="002A2626">
        <w:rPr>
          <w:rFonts w:cs="Arial"/>
          <w:bCs/>
          <w:sz w:val="24"/>
          <w:szCs w:val="24"/>
        </w:rPr>
        <w:t>Este capítulo no experimenta variación alguna con respecto al ejercicio anterior, manteniéndose los créditos para anticipos al personal en la misma cuantía, 0,57% del total del Presupuesto. Hay que mencionar que estas</w:t>
      </w:r>
      <w:r w:rsidRPr="002A2626">
        <w:rPr>
          <w:rFonts w:cs="Arial"/>
          <w:sz w:val="24"/>
          <w:szCs w:val="24"/>
        </w:rPr>
        <w:t xml:space="preserve"> partidas son ampliables ya que corresponden a gastos financiados con recursos expresamente afectados.</w:t>
      </w:r>
    </w:p>
    <w:p w:rsidR="002A2626" w:rsidRPr="002A2626" w:rsidRDefault="002A2626" w:rsidP="002A2626">
      <w:pPr>
        <w:spacing w:before="120" w:line="300" w:lineRule="auto"/>
        <w:ind w:firstLine="709"/>
        <w:rPr>
          <w:rFonts w:cs="Arial"/>
          <w:bCs/>
          <w:color w:val="FF0000"/>
          <w:sz w:val="24"/>
          <w:szCs w:val="24"/>
        </w:rPr>
      </w:pPr>
    </w:p>
    <w:p w:rsidR="002A2626" w:rsidRPr="002A2626" w:rsidRDefault="002A2626" w:rsidP="002A2626">
      <w:pPr>
        <w:spacing w:before="120" w:line="300" w:lineRule="auto"/>
        <w:ind w:firstLine="709"/>
        <w:rPr>
          <w:rFonts w:cs="Arial"/>
          <w:bCs/>
          <w:sz w:val="24"/>
          <w:szCs w:val="24"/>
        </w:rPr>
      </w:pPr>
      <w:r w:rsidRPr="002A2626">
        <w:rPr>
          <w:rFonts w:cs="Arial"/>
          <w:bCs/>
          <w:sz w:val="24"/>
          <w:szCs w:val="24"/>
        </w:rPr>
        <w:t xml:space="preserve">El Presupuesto General para 2019 se presenta cumpliendo con los criterios de estabilidad presupuestaria vigentes, así como lo establecido en el </w:t>
      </w:r>
      <w:proofErr w:type="spellStart"/>
      <w:r w:rsidRPr="002A2626">
        <w:rPr>
          <w:rFonts w:cs="Arial"/>
          <w:bCs/>
          <w:sz w:val="24"/>
          <w:szCs w:val="24"/>
        </w:rPr>
        <w:t>RDLeg</w:t>
      </w:r>
      <w:proofErr w:type="spellEnd"/>
      <w:r w:rsidRPr="002A2626">
        <w:rPr>
          <w:rFonts w:cs="Arial"/>
          <w:bCs/>
          <w:sz w:val="24"/>
          <w:szCs w:val="24"/>
        </w:rPr>
        <w:t xml:space="preserve"> 2/2004 que aprueba el Texto Refundido de la Ley Reguladora de las Haciendas Locales.</w:t>
      </w:r>
    </w:p>
    <w:p w:rsidR="002A2626" w:rsidRPr="002A2626" w:rsidRDefault="002A2626" w:rsidP="002A2626">
      <w:pPr>
        <w:rPr>
          <w:rFonts w:cs="Arial"/>
          <w:sz w:val="24"/>
          <w:szCs w:val="24"/>
        </w:rPr>
      </w:pPr>
    </w:p>
    <w:p w:rsidR="00C336CB" w:rsidRPr="002A2626" w:rsidRDefault="00C336CB" w:rsidP="002A2626">
      <w:pPr>
        <w:rPr>
          <w:rFonts w:cs="Arial"/>
          <w:sz w:val="24"/>
          <w:szCs w:val="24"/>
        </w:rPr>
      </w:pPr>
    </w:p>
    <w:sectPr w:rsidR="00C336CB" w:rsidRPr="002A2626" w:rsidSect="00C80193">
      <w:headerReference w:type="default" r:id="rId8"/>
      <w:footerReference w:type="default" r:id="rId9"/>
      <w:pgSz w:w="11906" w:h="16838"/>
      <w:pgMar w:top="2835"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7C8" w:rsidRDefault="008F77C8" w:rsidP="00041E20">
      <w:r>
        <w:separator/>
      </w:r>
    </w:p>
  </w:endnote>
  <w:endnote w:type="continuationSeparator" w:id="1">
    <w:p w:rsidR="008F77C8" w:rsidRDefault="008F77C8" w:rsidP="00041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egrit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C8" w:rsidRDefault="008F77C8" w:rsidP="006B215C">
    <w:pPr>
      <w:pStyle w:val="Piedepgina"/>
    </w:pPr>
    <w:r w:rsidRPr="00EA5D0F">
      <w:rPr>
        <w:sz w:val="16"/>
        <w:szCs w:val="16"/>
      </w:rPr>
      <w:t>Fecha de publicación: 30/12/2019</w:t>
    </w:r>
    <w:r w:rsidRPr="00EA5D0F">
      <w:rPr>
        <w:sz w:val="16"/>
        <w:szCs w:val="16"/>
      </w:rPr>
      <w:tab/>
    </w:r>
    <w:r w:rsidRPr="00EA5D0F">
      <w:rPr>
        <w:sz w:val="16"/>
        <w:szCs w:val="16"/>
      </w:rPr>
      <w:tab/>
      <w:t xml:space="preserve">Fecha de actualización: </w:t>
    </w:r>
    <w:fldSimple w:instr=" DATE   \* MERGEFORMAT ">
      <w:r w:rsidR="002A2626" w:rsidRPr="002A2626">
        <w:rPr>
          <w:noProof/>
          <w:sz w:val="16"/>
          <w:szCs w:val="16"/>
        </w:rPr>
        <w:t>18/12/2019</w:t>
      </w:r>
    </w:fldSimple>
  </w:p>
  <w:p w:rsidR="008F77C8" w:rsidRPr="006B215C" w:rsidRDefault="008F77C8" w:rsidP="006B215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7C8" w:rsidRDefault="008F77C8" w:rsidP="00041E20">
      <w:r>
        <w:separator/>
      </w:r>
    </w:p>
  </w:footnote>
  <w:footnote w:type="continuationSeparator" w:id="1">
    <w:p w:rsidR="008F77C8" w:rsidRDefault="008F77C8" w:rsidP="00041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C8" w:rsidRDefault="008F77C8" w:rsidP="00824FBD">
    <w:pPr>
      <w:pStyle w:val="Encabezado"/>
      <w:jc w:val="center"/>
    </w:pPr>
    <w:r>
      <w:rPr>
        <w:noProof/>
        <w:lang w:eastAsia="es-ES"/>
      </w:rPr>
      <w:drawing>
        <wp:inline distT="0" distB="0" distL="0" distR="0">
          <wp:extent cx="2292350" cy="1032014"/>
          <wp:effectExtent l="19050" t="0" r="0" b="0"/>
          <wp:docPr id="2" name="1 Imagen"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1"/>
                  <a:stretch>
                    <a:fillRect/>
                  </a:stretch>
                </pic:blipFill>
                <pic:spPr>
                  <a:xfrm>
                    <a:off x="0" y="0"/>
                    <a:ext cx="2292253" cy="10319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359"/>
    <w:multiLevelType w:val="hybridMultilevel"/>
    <w:tmpl w:val="E87EC7AA"/>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C8B7213"/>
    <w:multiLevelType w:val="hybridMultilevel"/>
    <w:tmpl w:val="ED349E44"/>
    <w:lvl w:ilvl="0" w:tplc="818AF54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CE84AAF"/>
    <w:multiLevelType w:val="hybridMultilevel"/>
    <w:tmpl w:val="E20C6ED6"/>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D1871ED"/>
    <w:multiLevelType w:val="hybridMultilevel"/>
    <w:tmpl w:val="ACDABD2E"/>
    <w:lvl w:ilvl="0" w:tplc="6846AF68">
      <w:start w:val="10"/>
      <w:numFmt w:val="decimal"/>
      <w:lvlText w:val="%1"/>
      <w:lvlJc w:val="left"/>
      <w:pPr>
        <w:tabs>
          <w:tab w:val="num" w:pos="3531"/>
        </w:tabs>
        <w:ind w:left="3531" w:hanging="2115"/>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4">
    <w:nsid w:val="0F2B2139"/>
    <w:multiLevelType w:val="hybridMultilevel"/>
    <w:tmpl w:val="EF6CAB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F86FFB"/>
    <w:multiLevelType w:val="hybridMultilevel"/>
    <w:tmpl w:val="9678FD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30C6CFA"/>
    <w:multiLevelType w:val="hybridMultilevel"/>
    <w:tmpl w:val="180E560C"/>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7">
    <w:nsid w:val="13100CF0"/>
    <w:multiLevelType w:val="hybridMultilevel"/>
    <w:tmpl w:val="E9AAC96E"/>
    <w:lvl w:ilvl="0" w:tplc="5DD048DE">
      <w:numFmt w:val="bullet"/>
      <w:lvlText w:val="-"/>
      <w:lvlJc w:val="left"/>
      <w:pPr>
        <w:tabs>
          <w:tab w:val="num" w:pos="170"/>
        </w:tabs>
        <w:ind w:left="170" w:hanging="170"/>
      </w:pPr>
      <w:rPr>
        <w:rFonts w:ascii="Arial" w:eastAsia="Times New Roman" w:hAnsi="Aria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8">
    <w:nsid w:val="147631B2"/>
    <w:multiLevelType w:val="hybridMultilevel"/>
    <w:tmpl w:val="78E696E6"/>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169A36B8"/>
    <w:multiLevelType w:val="hybridMultilevel"/>
    <w:tmpl w:val="EB26A5A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17357C07"/>
    <w:multiLevelType w:val="hybridMultilevel"/>
    <w:tmpl w:val="E4E2786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1BD870C5"/>
    <w:multiLevelType w:val="hybridMultilevel"/>
    <w:tmpl w:val="6290CE08"/>
    <w:lvl w:ilvl="0" w:tplc="7034F3CC">
      <w:start w:val="10"/>
      <w:numFmt w:val="bullet"/>
      <w:lvlText w:val="-"/>
      <w:lvlJc w:val="left"/>
      <w:pPr>
        <w:ind w:left="1069" w:hanging="360"/>
      </w:pPr>
      <w:rPr>
        <w:rFonts w:ascii="Calibri" w:eastAsia="Times New Roman" w:hAnsi="Calibri"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2">
    <w:nsid w:val="1EEC7BE0"/>
    <w:multiLevelType w:val="hybridMultilevel"/>
    <w:tmpl w:val="86003E9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205342BB"/>
    <w:multiLevelType w:val="hybridMultilevel"/>
    <w:tmpl w:val="69FE937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11B3265"/>
    <w:multiLevelType w:val="hybridMultilevel"/>
    <w:tmpl w:val="C27CC176"/>
    <w:lvl w:ilvl="0" w:tplc="A8D69418">
      <w:start w:val="20"/>
      <w:numFmt w:val="decimal"/>
      <w:lvlText w:val="%1"/>
      <w:lvlJc w:val="left"/>
      <w:pPr>
        <w:tabs>
          <w:tab w:val="num" w:pos="3531"/>
        </w:tabs>
        <w:ind w:left="3531" w:hanging="2115"/>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5">
    <w:nsid w:val="2128286E"/>
    <w:multiLevelType w:val="hybridMultilevel"/>
    <w:tmpl w:val="5E16D51E"/>
    <w:lvl w:ilvl="0" w:tplc="C85AD636">
      <w:start w:val="40"/>
      <w:numFmt w:val="decimal"/>
      <w:lvlText w:val="%1"/>
      <w:lvlJc w:val="left"/>
      <w:pPr>
        <w:tabs>
          <w:tab w:val="num" w:pos="3546"/>
        </w:tabs>
        <w:ind w:left="3546" w:hanging="2130"/>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6">
    <w:nsid w:val="2811535C"/>
    <w:multiLevelType w:val="hybridMultilevel"/>
    <w:tmpl w:val="746A8C5C"/>
    <w:lvl w:ilvl="0" w:tplc="8DA0C80E">
      <w:start w:val="30"/>
      <w:numFmt w:val="decimal"/>
      <w:lvlText w:val="%1"/>
      <w:lvlJc w:val="left"/>
      <w:pPr>
        <w:tabs>
          <w:tab w:val="num" w:pos="3531"/>
        </w:tabs>
        <w:ind w:left="3531" w:hanging="2115"/>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7">
    <w:nsid w:val="2EBC2750"/>
    <w:multiLevelType w:val="hybridMultilevel"/>
    <w:tmpl w:val="C91012C6"/>
    <w:lvl w:ilvl="0" w:tplc="9B4070E0">
      <w:start w:val="50"/>
      <w:numFmt w:val="decimal"/>
      <w:lvlText w:val="%1"/>
      <w:lvlJc w:val="left"/>
      <w:pPr>
        <w:tabs>
          <w:tab w:val="num" w:pos="3546"/>
        </w:tabs>
        <w:ind w:left="3546" w:hanging="2130"/>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8">
    <w:nsid w:val="2F5A4086"/>
    <w:multiLevelType w:val="hybridMultilevel"/>
    <w:tmpl w:val="D7E2A55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8A24E36"/>
    <w:multiLevelType w:val="hybridMultilevel"/>
    <w:tmpl w:val="97B0D6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8B94545"/>
    <w:multiLevelType w:val="hybridMultilevel"/>
    <w:tmpl w:val="F25E8E52"/>
    <w:lvl w:ilvl="0" w:tplc="79645F66">
      <w:start w:val="1"/>
      <w:numFmt w:val="decimal"/>
      <w:lvlText w:val="%1."/>
      <w:lvlJc w:val="left"/>
      <w:pPr>
        <w:ind w:left="108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3CF67390"/>
    <w:multiLevelType w:val="hybridMultilevel"/>
    <w:tmpl w:val="A8AA0722"/>
    <w:lvl w:ilvl="0" w:tplc="08B8E0E4">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41A05BFD"/>
    <w:multiLevelType w:val="hybridMultilevel"/>
    <w:tmpl w:val="61126314"/>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42934554"/>
    <w:multiLevelType w:val="hybridMultilevel"/>
    <w:tmpl w:val="94A032AE"/>
    <w:lvl w:ilvl="0" w:tplc="0C0A0017">
      <w:start w:val="1"/>
      <w:numFmt w:val="lowerLetter"/>
      <w:lvlText w:val="%1)"/>
      <w:lvlJc w:val="left"/>
      <w:pPr>
        <w:tabs>
          <w:tab w:val="num" w:pos="720"/>
        </w:tabs>
        <w:ind w:left="720" w:hanging="360"/>
      </w:pPr>
      <w:rPr>
        <w:rFonts w:cs="Times New Roman"/>
      </w:rPr>
    </w:lvl>
    <w:lvl w:ilvl="1" w:tplc="5DD048DE">
      <w:numFmt w:val="bullet"/>
      <w:lvlText w:val="-"/>
      <w:lvlJc w:val="left"/>
      <w:pPr>
        <w:tabs>
          <w:tab w:val="num" w:pos="1250"/>
        </w:tabs>
        <w:ind w:left="1250" w:hanging="170"/>
      </w:pPr>
      <w:rPr>
        <w:rFonts w:ascii="Arial" w:eastAsia="Times New Roman" w:hAnsi="Aria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481C2484"/>
    <w:multiLevelType w:val="hybridMultilevel"/>
    <w:tmpl w:val="ED349E44"/>
    <w:lvl w:ilvl="0" w:tplc="818AF54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4CE65CE7"/>
    <w:multiLevelType w:val="hybridMultilevel"/>
    <w:tmpl w:val="8664373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4F2D2F03"/>
    <w:multiLevelType w:val="hybridMultilevel"/>
    <w:tmpl w:val="9A4E2254"/>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27">
    <w:nsid w:val="520673EF"/>
    <w:multiLevelType w:val="hybridMultilevel"/>
    <w:tmpl w:val="690E9F9C"/>
    <w:lvl w:ilvl="0" w:tplc="69382374">
      <w:start w:val="3"/>
      <w:numFmt w:val="bullet"/>
      <w:lvlText w:val="-"/>
      <w:lvlJc w:val="left"/>
      <w:pPr>
        <w:ind w:left="928" w:hanging="360"/>
      </w:pPr>
      <w:rPr>
        <w:rFonts w:ascii="Bookman Old Style" w:eastAsia="Times New Roman" w:hAnsi="Bookman Old Style" w:cs="Aria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28">
    <w:nsid w:val="526401AE"/>
    <w:multiLevelType w:val="singleLevel"/>
    <w:tmpl w:val="31C4A506"/>
    <w:lvl w:ilvl="0">
      <w:start w:val="1"/>
      <w:numFmt w:val="lowerLetter"/>
      <w:lvlText w:val="%1)"/>
      <w:lvlJc w:val="left"/>
      <w:pPr>
        <w:tabs>
          <w:tab w:val="num" w:pos="2345"/>
        </w:tabs>
        <w:ind w:left="2345" w:hanging="360"/>
      </w:pPr>
      <w:rPr>
        <w:rFonts w:cs="Times New Roman" w:hint="default"/>
      </w:rPr>
    </w:lvl>
  </w:abstractNum>
  <w:abstractNum w:abstractNumId="29">
    <w:nsid w:val="55590B9E"/>
    <w:multiLevelType w:val="hybridMultilevel"/>
    <w:tmpl w:val="D610C1C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0">
    <w:nsid w:val="5C223D36"/>
    <w:multiLevelType w:val="hybridMultilevel"/>
    <w:tmpl w:val="DD3E4E14"/>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5DB002DB"/>
    <w:multiLevelType w:val="hybridMultilevel"/>
    <w:tmpl w:val="5220F88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nsid w:val="63684CC9"/>
    <w:multiLevelType w:val="hybridMultilevel"/>
    <w:tmpl w:val="361C41C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660D5183"/>
    <w:multiLevelType w:val="hybridMultilevel"/>
    <w:tmpl w:val="EB5011B6"/>
    <w:lvl w:ilvl="0" w:tplc="6CCC557C">
      <w:start w:val="1"/>
      <w:numFmt w:val="bullet"/>
      <w:lvlText w:val="-"/>
      <w:lvlJc w:val="left"/>
      <w:pPr>
        <w:tabs>
          <w:tab w:val="num" w:pos="1429"/>
        </w:tabs>
        <w:ind w:left="1429" w:hanging="360"/>
      </w:pPr>
      <w:rPr>
        <w:rFonts w:ascii="Arial" w:eastAsia="Times New Roman" w:hAnsi="Aria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4">
    <w:nsid w:val="66884AFC"/>
    <w:multiLevelType w:val="hybridMultilevel"/>
    <w:tmpl w:val="07A0F0A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67E50EB7"/>
    <w:multiLevelType w:val="hybridMultilevel"/>
    <w:tmpl w:val="6E4CF116"/>
    <w:lvl w:ilvl="0" w:tplc="E25EEDE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6">
    <w:nsid w:val="700F416D"/>
    <w:multiLevelType w:val="hybridMultilevel"/>
    <w:tmpl w:val="7E9A38F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nsid w:val="764F0DC7"/>
    <w:multiLevelType w:val="hybridMultilevel"/>
    <w:tmpl w:val="61ECFF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6E861F6"/>
    <w:multiLevelType w:val="singleLevel"/>
    <w:tmpl w:val="5FB0811E"/>
    <w:lvl w:ilvl="0">
      <w:start w:val="1"/>
      <w:numFmt w:val="lowerLetter"/>
      <w:lvlText w:val="%1)"/>
      <w:lvlJc w:val="left"/>
      <w:pPr>
        <w:tabs>
          <w:tab w:val="num" w:pos="786"/>
        </w:tabs>
        <w:ind w:left="786" w:hanging="360"/>
      </w:pPr>
      <w:rPr>
        <w:rFonts w:cs="Times New Roman" w:hint="default"/>
        <w:color w:val="000000"/>
      </w:rPr>
    </w:lvl>
  </w:abstractNum>
  <w:abstractNum w:abstractNumId="39">
    <w:nsid w:val="784834FB"/>
    <w:multiLevelType w:val="hybridMultilevel"/>
    <w:tmpl w:val="908021B2"/>
    <w:lvl w:ilvl="0" w:tplc="096E13FC">
      <w:numFmt w:val="bullet"/>
      <w:lvlText w:val="-"/>
      <w:lvlJc w:val="left"/>
      <w:pPr>
        <w:tabs>
          <w:tab w:val="num" w:pos="1080"/>
        </w:tabs>
        <w:ind w:left="1080" w:hanging="360"/>
      </w:pPr>
      <w:rPr>
        <w:rFonts w:ascii="Arial" w:eastAsia="Times New Roman" w:hAnsi="Arial" w:hint="default"/>
        <w:color w:val="auto"/>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40">
    <w:nsid w:val="7F703AFF"/>
    <w:multiLevelType w:val="hybridMultilevel"/>
    <w:tmpl w:val="2F427C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F9E1612"/>
    <w:multiLevelType w:val="hybridMultilevel"/>
    <w:tmpl w:val="C8FCF0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0"/>
  </w:num>
  <w:num w:numId="2">
    <w:abstractNumId w:val="4"/>
  </w:num>
  <w:num w:numId="3">
    <w:abstractNumId w:val="37"/>
  </w:num>
  <w:num w:numId="4">
    <w:abstractNumId w:val="5"/>
  </w:num>
  <w:num w:numId="5">
    <w:abstractNumId w:val="24"/>
  </w:num>
  <w:num w:numId="6">
    <w:abstractNumId w:val="1"/>
  </w:num>
  <w:num w:numId="7">
    <w:abstractNumId w:val="39"/>
  </w:num>
  <w:num w:numId="8">
    <w:abstractNumId w:val="38"/>
  </w:num>
  <w:num w:numId="9">
    <w:abstractNumId w:val="7"/>
  </w:num>
  <w:num w:numId="10">
    <w:abstractNumId w:val="34"/>
  </w:num>
  <w:num w:numId="11">
    <w:abstractNumId w:val="0"/>
  </w:num>
  <w:num w:numId="12">
    <w:abstractNumId w:val="12"/>
  </w:num>
  <w:num w:numId="13">
    <w:abstractNumId w:val="9"/>
  </w:num>
  <w:num w:numId="14">
    <w:abstractNumId w:val="23"/>
  </w:num>
  <w:num w:numId="15">
    <w:abstractNumId w:val="21"/>
  </w:num>
  <w:num w:numId="16">
    <w:abstractNumId w:val="32"/>
  </w:num>
  <w:num w:numId="17">
    <w:abstractNumId w:val="30"/>
  </w:num>
  <w:num w:numId="18">
    <w:abstractNumId w:val="36"/>
  </w:num>
  <w:num w:numId="19">
    <w:abstractNumId w:val="8"/>
  </w:num>
  <w:num w:numId="20">
    <w:abstractNumId w:val="25"/>
  </w:num>
  <w:num w:numId="21">
    <w:abstractNumId w:val="10"/>
  </w:num>
  <w:num w:numId="22">
    <w:abstractNumId w:val="31"/>
  </w:num>
  <w:num w:numId="23">
    <w:abstractNumId w:val="13"/>
  </w:num>
  <w:num w:numId="24">
    <w:abstractNumId w:val="2"/>
  </w:num>
  <w:num w:numId="25">
    <w:abstractNumId w:val="22"/>
  </w:num>
  <w:num w:numId="26">
    <w:abstractNumId w:val="3"/>
  </w:num>
  <w:num w:numId="27">
    <w:abstractNumId w:val="14"/>
  </w:num>
  <w:num w:numId="28">
    <w:abstractNumId w:val="16"/>
  </w:num>
  <w:num w:numId="29">
    <w:abstractNumId w:val="15"/>
  </w:num>
  <w:num w:numId="30">
    <w:abstractNumId w:val="17"/>
  </w:num>
  <w:num w:numId="31">
    <w:abstractNumId w:val="18"/>
  </w:num>
  <w:num w:numId="32">
    <w:abstractNumId w:val="20"/>
  </w:num>
  <w:num w:numId="33">
    <w:abstractNumId w:val="19"/>
  </w:num>
  <w:num w:numId="34">
    <w:abstractNumId w:val="41"/>
  </w:num>
  <w:num w:numId="35">
    <w:abstractNumId w:val="28"/>
  </w:num>
  <w:num w:numId="36">
    <w:abstractNumId w:val="29"/>
  </w:num>
  <w:num w:numId="37">
    <w:abstractNumId w:val="11"/>
  </w:num>
  <w:num w:numId="38">
    <w:abstractNumId w:val="33"/>
  </w:num>
  <w:num w:numId="39">
    <w:abstractNumId w:val="26"/>
  </w:num>
  <w:num w:numId="40">
    <w:abstractNumId w:val="35"/>
  </w:num>
  <w:num w:numId="41">
    <w:abstractNumId w:val="27"/>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35841"/>
  </w:hdrShapeDefaults>
  <w:footnotePr>
    <w:footnote w:id="0"/>
    <w:footnote w:id="1"/>
  </w:footnotePr>
  <w:endnotePr>
    <w:endnote w:id="0"/>
    <w:endnote w:id="1"/>
  </w:endnotePr>
  <w:compat/>
  <w:rsids>
    <w:rsidRoot w:val="00041E20"/>
    <w:rsid w:val="000341AC"/>
    <w:rsid w:val="00041E20"/>
    <w:rsid w:val="00061C82"/>
    <w:rsid w:val="00071BB5"/>
    <w:rsid w:val="000A40E5"/>
    <w:rsid w:val="001A3F4D"/>
    <w:rsid w:val="001F26C0"/>
    <w:rsid w:val="00207DF3"/>
    <w:rsid w:val="00221682"/>
    <w:rsid w:val="00252018"/>
    <w:rsid w:val="0027371F"/>
    <w:rsid w:val="002A167A"/>
    <w:rsid w:val="002A2626"/>
    <w:rsid w:val="00304BD5"/>
    <w:rsid w:val="00356DE4"/>
    <w:rsid w:val="00396097"/>
    <w:rsid w:val="004207D0"/>
    <w:rsid w:val="004D04AB"/>
    <w:rsid w:val="0051242D"/>
    <w:rsid w:val="005949FE"/>
    <w:rsid w:val="005D3487"/>
    <w:rsid w:val="005F7294"/>
    <w:rsid w:val="0061402E"/>
    <w:rsid w:val="0064365B"/>
    <w:rsid w:val="00662789"/>
    <w:rsid w:val="006A10F8"/>
    <w:rsid w:val="006B215C"/>
    <w:rsid w:val="007621F0"/>
    <w:rsid w:val="00764527"/>
    <w:rsid w:val="00824FBD"/>
    <w:rsid w:val="008F58B9"/>
    <w:rsid w:val="008F77C8"/>
    <w:rsid w:val="009676AD"/>
    <w:rsid w:val="00B066C3"/>
    <w:rsid w:val="00B06755"/>
    <w:rsid w:val="00B0692A"/>
    <w:rsid w:val="00B37EEF"/>
    <w:rsid w:val="00BA5A0B"/>
    <w:rsid w:val="00BE7776"/>
    <w:rsid w:val="00BF5A82"/>
    <w:rsid w:val="00C05E8A"/>
    <w:rsid w:val="00C125F8"/>
    <w:rsid w:val="00C336CB"/>
    <w:rsid w:val="00C76B94"/>
    <w:rsid w:val="00C80193"/>
    <w:rsid w:val="00D4357B"/>
    <w:rsid w:val="00D471FF"/>
    <w:rsid w:val="00D67127"/>
    <w:rsid w:val="00D70C6C"/>
    <w:rsid w:val="00D8081D"/>
    <w:rsid w:val="00E7541B"/>
    <w:rsid w:val="00E76EFC"/>
    <w:rsid w:val="00EE024A"/>
    <w:rsid w:val="00F21E35"/>
    <w:rsid w:val="00F554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20"/>
    <w:pPr>
      <w:spacing w:after="0" w:line="240" w:lineRule="auto"/>
      <w:jc w:val="both"/>
    </w:pPr>
    <w:rPr>
      <w:rFonts w:ascii="Arial" w:hAnsi="Arial"/>
    </w:rPr>
  </w:style>
  <w:style w:type="paragraph" w:styleId="Ttulo1">
    <w:name w:val="heading 1"/>
    <w:basedOn w:val="Normal"/>
    <w:next w:val="Normal"/>
    <w:link w:val="Ttulo1Car"/>
    <w:uiPriority w:val="9"/>
    <w:qFormat/>
    <w:rsid w:val="00041E20"/>
    <w:pPr>
      <w:keepNext/>
      <w:keepLines/>
      <w:spacing w:before="480"/>
      <w:outlineLvl w:val="0"/>
    </w:pPr>
    <w:rPr>
      <w:rFonts w:ascii="Arial Negrita" w:eastAsiaTheme="majorEastAsia" w:hAnsi="Arial Negrita" w:cstheme="majorBidi"/>
      <w:b/>
      <w:bCs/>
      <w:caps/>
      <w:color w:val="FF0000"/>
      <w:sz w:val="28"/>
      <w:szCs w:val="28"/>
    </w:rPr>
  </w:style>
  <w:style w:type="paragraph" w:styleId="Ttulo2">
    <w:name w:val="heading 2"/>
    <w:basedOn w:val="Normal"/>
    <w:next w:val="Normal"/>
    <w:link w:val="Ttulo2Car"/>
    <w:uiPriority w:val="9"/>
    <w:unhideWhenUsed/>
    <w:qFormat/>
    <w:rsid w:val="00041E20"/>
    <w:pPr>
      <w:keepNext/>
      <w:keepLines/>
      <w:spacing w:before="200"/>
      <w:outlineLvl w:val="1"/>
    </w:pPr>
    <w:rPr>
      <w:rFonts w:eastAsiaTheme="majorEastAsia" w:cstheme="majorBidi"/>
      <w:b/>
      <w:bCs/>
      <w:color w:val="FF0000"/>
      <w:sz w:val="24"/>
      <w:szCs w:val="26"/>
    </w:rPr>
  </w:style>
  <w:style w:type="paragraph" w:styleId="Ttulo3">
    <w:name w:val="heading 3"/>
    <w:basedOn w:val="Normal"/>
    <w:next w:val="Normal"/>
    <w:link w:val="Ttulo3Car"/>
    <w:uiPriority w:val="9"/>
    <w:unhideWhenUsed/>
    <w:qFormat/>
    <w:rsid w:val="00041E20"/>
    <w:pPr>
      <w:keepNext/>
      <w:keepLines/>
      <w:outlineLvl w:val="2"/>
    </w:pPr>
    <w:rPr>
      <w:rFonts w:eastAsiaTheme="majorEastAsia" w:cstheme="majorBidi"/>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1E20"/>
    <w:rPr>
      <w:rFonts w:ascii="Arial Negrita" w:eastAsiaTheme="majorEastAsia" w:hAnsi="Arial Negrita" w:cstheme="majorBidi"/>
      <w:b/>
      <w:bCs/>
      <w:caps/>
      <w:color w:val="FF0000"/>
      <w:sz w:val="28"/>
      <w:szCs w:val="28"/>
    </w:rPr>
  </w:style>
  <w:style w:type="character" w:customStyle="1" w:styleId="Ttulo2Car">
    <w:name w:val="Título 2 Car"/>
    <w:basedOn w:val="Fuentedeprrafopredeter"/>
    <w:link w:val="Ttulo2"/>
    <w:uiPriority w:val="9"/>
    <w:rsid w:val="00041E20"/>
    <w:rPr>
      <w:rFonts w:ascii="Arial" w:eastAsiaTheme="majorEastAsia" w:hAnsi="Arial" w:cstheme="majorBidi"/>
      <w:b/>
      <w:bCs/>
      <w:color w:val="FF0000"/>
      <w:sz w:val="24"/>
      <w:szCs w:val="26"/>
    </w:rPr>
  </w:style>
  <w:style w:type="character" w:customStyle="1" w:styleId="Ttulo3Car">
    <w:name w:val="Título 3 Car"/>
    <w:basedOn w:val="Fuentedeprrafopredeter"/>
    <w:link w:val="Ttulo3"/>
    <w:uiPriority w:val="9"/>
    <w:rsid w:val="00041E20"/>
    <w:rPr>
      <w:rFonts w:ascii="Arial" w:eastAsiaTheme="majorEastAsia" w:hAnsi="Arial" w:cstheme="majorBidi"/>
      <w:b/>
      <w:bCs/>
      <w:u w:val="single"/>
    </w:rPr>
  </w:style>
  <w:style w:type="paragraph" w:styleId="Encabezado">
    <w:name w:val="header"/>
    <w:basedOn w:val="Normal"/>
    <w:link w:val="EncabezadoCar"/>
    <w:uiPriority w:val="99"/>
    <w:semiHidden/>
    <w:unhideWhenUsed/>
    <w:rsid w:val="00041E20"/>
    <w:pPr>
      <w:tabs>
        <w:tab w:val="center" w:pos="4252"/>
        <w:tab w:val="right" w:pos="8504"/>
      </w:tabs>
    </w:pPr>
  </w:style>
  <w:style w:type="character" w:customStyle="1" w:styleId="EncabezadoCar">
    <w:name w:val="Encabezado Car"/>
    <w:basedOn w:val="Fuentedeprrafopredeter"/>
    <w:link w:val="Encabezado"/>
    <w:uiPriority w:val="99"/>
    <w:semiHidden/>
    <w:rsid w:val="00041E20"/>
    <w:rPr>
      <w:rFonts w:ascii="Arial" w:hAnsi="Arial"/>
    </w:rPr>
  </w:style>
  <w:style w:type="paragraph" w:styleId="Piedepgina">
    <w:name w:val="footer"/>
    <w:basedOn w:val="Normal"/>
    <w:link w:val="PiedepginaCar"/>
    <w:uiPriority w:val="99"/>
    <w:semiHidden/>
    <w:unhideWhenUsed/>
    <w:rsid w:val="00041E20"/>
    <w:pPr>
      <w:tabs>
        <w:tab w:val="center" w:pos="4252"/>
        <w:tab w:val="right" w:pos="8504"/>
      </w:tabs>
    </w:pPr>
  </w:style>
  <w:style w:type="character" w:customStyle="1" w:styleId="PiedepginaCar">
    <w:name w:val="Pie de página Car"/>
    <w:basedOn w:val="Fuentedeprrafopredeter"/>
    <w:link w:val="Piedepgina"/>
    <w:uiPriority w:val="99"/>
    <w:semiHidden/>
    <w:rsid w:val="00041E20"/>
    <w:rPr>
      <w:rFonts w:ascii="Arial" w:hAnsi="Arial"/>
    </w:rPr>
  </w:style>
  <w:style w:type="paragraph" w:styleId="Textodeglobo">
    <w:name w:val="Balloon Text"/>
    <w:basedOn w:val="Normal"/>
    <w:link w:val="TextodegloboCar"/>
    <w:uiPriority w:val="99"/>
    <w:semiHidden/>
    <w:unhideWhenUsed/>
    <w:rsid w:val="00041E20"/>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E20"/>
    <w:rPr>
      <w:rFonts w:ascii="Tahoma" w:hAnsi="Tahoma" w:cs="Tahoma"/>
      <w:sz w:val="16"/>
      <w:szCs w:val="16"/>
    </w:rPr>
  </w:style>
  <w:style w:type="paragraph" w:styleId="NormalWeb">
    <w:name w:val="Normal (Web)"/>
    <w:basedOn w:val="Normal"/>
    <w:uiPriority w:val="99"/>
    <w:semiHidden/>
    <w:unhideWhenUsed/>
    <w:rsid w:val="005949FE"/>
    <w:pPr>
      <w:spacing w:before="100" w:beforeAutospacing="1" w:after="100" w:afterAutospacing="1"/>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64527"/>
    <w:rPr>
      <w:b/>
      <w:bCs/>
    </w:rPr>
  </w:style>
  <w:style w:type="table" w:styleId="Tablaconcuadrcula">
    <w:name w:val="Table Grid"/>
    <w:basedOn w:val="Tablanormal"/>
    <w:rsid w:val="00E754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E7541B"/>
    <w:rPr>
      <w:color w:val="0000FF" w:themeColor="hyperlink"/>
      <w:u w:val="single"/>
    </w:rPr>
  </w:style>
  <w:style w:type="paragraph" w:styleId="Prrafodelista">
    <w:name w:val="List Paragraph"/>
    <w:basedOn w:val="Normal"/>
    <w:uiPriority w:val="34"/>
    <w:qFormat/>
    <w:rsid w:val="00E7541B"/>
    <w:pPr>
      <w:spacing w:after="200" w:line="276" w:lineRule="auto"/>
      <w:ind w:left="720"/>
      <w:contextualSpacing/>
      <w:jc w:val="left"/>
    </w:pPr>
    <w:rPr>
      <w:rFonts w:asciiTheme="minorHAnsi" w:hAnsiTheme="minorHAnsi"/>
    </w:rPr>
  </w:style>
  <w:style w:type="character" w:styleId="Hipervnculovisitado">
    <w:name w:val="FollowedHyperlink"/>
    <w:basedOn w:val="Fuentedeprrafopredeter"/>
    <w:uiPriority w:val="99"/>
    <w:semiHidden/>
    <w:unhideWhenUsed/>
    <w:rsid w:val="00E7541B"/>
    <w:rPr>
      <w:color w:val="800080" w:themeColor="followedHyperlink"/>
      <w:u w:val="single"/>
    </w:rPr>
  </w:style>
  <w:style w:type="paragraph" w:customStyle="1" w:styleId="Default">
    <w:name w:val="Default"/>
    <w:uiPriority w:val="99"/>
    <w:rsid w:val="00D70C6C"/>
    <w:pPr>
      <w:autoSpaceDE w:val="0"/>
      <w:autoSpaceDN w:val="0"/>
      <w:adjustRightInd w:val="0"/>
      <w:spacing w:after="0" w:line="240" w:lineRule="auto"/>
    </w:pPr>
    <w:rPr>
      <w:rFonts w:ascii="Times" w:eastAsia="Times New Roman" w:hAnsi="Times" w:cs="Times"/>
      <w:color w:val="000000"/>
      <w:sz w:val="24"/>
      <w:szCs w:val="24"/>
      <w:lang w:eastAsia="es-ES"/>
    </w:rPr>
  </w:style>
  <w:style w:type="paragraph" w:styleId="Textoindependiente">
    <w:name w:val="Body Text"/>
    <w:basedOn w:val="Normal"/>
    <w:link w:val="TextoindependienteCar"/>
    <w:uiPriority w:val="99"/>
    <w:rsid w:val="00B066C3"/>
    <w:pPr>
      <w:autoSpaceDE w:val="0"/>
      <w:autoSpaceDN w:val="0"/>
    </w:pPr>
    <w:rPr>
      <w:rFonts w:ascii="Arial Narrow" w:eastAsia="Times New Roman" w:hAnsi="Arial Narrow" w:cs="Arial Narrow"/>
      <w:sz w:val="28"/>
      <w:szCs w:val="28"/>
      <w:lang w:eastAsia="es-ES"/>
    </w:rPr>
  </w:style>
  <w:style w:type="character" w:customStyle="1" w:styleId="TextoindependienteCar">
    <w:name w:val="Texto independiente Car"/>
    <w:basedOn w:val="Fuentedeprrafopredeter"/>
    <w:link w:val="Textoindependiente"/>
    <w:uiPriority w:val="99"/>
    <w:rsid w:val="00B066C3"/>
    <w:rPr>
      <w:rFonts w:ascii="Arial Narrow" w:eastAsia="Times New Roman" w:hAnsi="Arial Narrow" w:cs="Arial Narrow"/>
      <w:sz w:val="28"/>
      <w:szCs w:val="28"/>
      <w:lang w:eastAsia="es-ES"/>
    </w:rPr>
  </w:style>
  <w:style w:type="paragraph" w:styleId="Sangradetextonormal">
    <w:name w:val="Body Text Indent"/>
    <w:basedOn w:val="Normal"/>
    <w:link w:val="SangradetextonormalCar"/>
    <w:uiPriority w:val="99"/>
    <w:rsid w:val="00B066C3"/>
    <w:pPr>
      <w:widowControl w:val="0"/>
      <w:tabs>
        <w:tab w:val="left" w:pos="1701"/>
        <w:tab w:val="left" w:pos="2182"/>
      </w:tabs>
      <w:autoSpaceDE w:val="0"/>
      <w:autoSpaceDN w:val="0"/>
      <w:spacing w:line="283" w:lineRule="exact"/>
      <w:ind w:firstLine="748"/>
    </w:pPr>
    <w:rPr>
      <w:rFonts w:ascii="Arial Narrow" w:eastAsia="Times New Roman" w:hAnsi="Arial Narrow" w:cs="Arial Narrow"/>
      <w:sz w:val="28"/>
      <w:szCs w:val="28"/>
      <w:lang w:val="es-MX" w:eastAsia="es-ES"/>
    </w:rPr>
  </w:style>
  <w:style w:type="character" w:customStyle="1" w:styleId="SangradetextonormalCar">
    <w:name w:val="Sangría de texto normal Car"/>
    <w:basedOn w:val="Fuentedeprrafopredeter"/>
    <w:link w:val="Sangradetextonormal"/>
    <w:uiPriority w:val="99"/>
    <w:rsid w:val="00B066C3"/>
    <w:rPr>
      <w:rFonts w:ascii="Arial Narrow" w:eastAsia="Times New Roman" w:hAnsi="Arial Narrow" w:cs="Arial Narrow"/>
      <w:sz w:val="28"/>
      <w:szCs w:val="28"/>
      <w:lang w:val="es-MX" w:eastAsia="es-ES"/>
    </w:rPr>
  </w:style>
  <w:style w:type="paragraph" w:styleId="Sangra3detindependiente">
    <w:name w:val="Body Text Indent 3"/>
    <w:basedOn w:val="Normal"/>
    <w:link w:val="Sangra3detindependienteCar"/>
    <w:uiPriority w:val="99"/>
    <w:rsid w:val="00B066C3"/>
    <w:pPr>
      <w:autoSpaceDE w:val="0"/>
      <w:autoSpaceDN w:val="0"/>
      <w:ind w:firstLine="720"/>
      <w:jc w:val="left"/>
    </w:pPr>
    <w:rPr>
      <w:rFonts w:ascii="Times New Roman" w:eastAsia="Times New Roman" w:hAnsi="Times New Roman" w:cs="Times New Roman"/>
      <w:sz w:val="20"/>
      <w:szCs w:val="20"/>
      <w:lang w:eastAsia="es-ES"/>
    </w:rPr>
  </w:style>
  <w:style w:type="character" w:customStyle="1" w:styleId="Sangra3detindependienteCar">
    <w:name w:val="Sangría 3 de t. independiente Car"/>
    <w:basedOn w:val="Fuentedeprrafopredeter"/>
    <w:link w:val="Sangra3detindependiente"/>
    <w:uiPriority w:val="99"/>
    <w:rsid w:val="00B066C3"/>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uiPriority w:val="99"/>
    <w:semiHidden/>
    <w:unhideWhenUsed/>
    <w:rsid w:val="00B066C3"/>
    <w:pPr>
      <w:autoSpaceDE w:val="0"/>
      <w:autoSpaceDN w:val="0"/>
      <w:spacing w:after="120" w:line="480" w:lineRule="auto"/>
      <w:ind w:left="283"/>
      <w:jc w:val="left"/>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uiPriority w:val="99"/>
    <w:semiHidden/>
    <w:rsid w:val="00B066C3"/>
    <w:rPr>
      <w:rFonts w:ascii="Times New Roman" w:eastAsia="Times New Roman" w:hAnsi="Times New Roman"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divs>
    <w:div w:id="330917030">
      <w:bodyDiv w:val="1"/>
      <w:marLeft w:val="0"/>
      <w:marRight w:val="0"/>
      <w:marTop w:val="0"/>
      <w:marBottom w:val="0"/>
      <w:divBdr>
        <w:top w:val="none" w:sz="0" w:space="0" w:color="auto"/>
        <w:left w:val="none" w:sz="0" w:space="0" w:color="auto"/>
        <w:bottom w:val="none" w:sz="0" w:space="0" w:color="auto"/>
        <w:right w:val="none" w:sz="0" w:space="0" w:color="auto"/>
      </w:divBdr>
    </w:div>
    <w:div w:id="467555378">
      <w:bodyDiv w:val="1"/>
      <w:marLeft w:val="0"/>
      <w:marRight w:val="0"/>
      <w:marTop w:val="0"/>
      <w:marBottom w:val="0"/>
      <w:divBdr>
        <w:top w:val="none" w:sz="0" w:space="0" w:color="auto"/>
        <w:left w:val="none" w:sz="0" w:space="0" w:color="auto"/>
        <w:bottom w:val="none" w:sz="0" w:space="0" w:color="auto"/>
        <w:right w:val="none" w:sz="0" w:space="0" w:color="auto"/>
      </w:divBdr>
    </w:div>
    <w:div w:id="968894399">
      <w:bodyDiv w:val="1"/>
      <w:marLeft w:val="0"/>
      <w:marRight w:val="0"/>
      <w:marTop w:val="0"/>
      <w:marBottom w:val="0"/>
      <w:divBdr>
        <w:top w:val="none" w:sz="0" w:space="0" w:color="auto"/>
        <w:left w:val="none" w:sz="0" w:space="0" w:color="auto"/>
        <w:bottom w:val="none" w:sz="0" w:space="0" w:color="auto"/>
        <w:right w:val="none" w:sz="0" w:space="0" w:color="auto"/>
      </w:divBdr>
    </w:div>
    <w:div w:id="19137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F332D-156F-49B3-9E4E-C7C4F628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2982</Words>
  <Characters>16403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mmercedes</dc:creator>
  <cp:lastModifiedBy>mmercedes</cp:lastModifiedBy>
  <cp:revision>2</cp:revision>
  <cp:lastPrinted>2019-12-18T08:06:00Z</cp:lastPrinted>
  <dcterms:created xsi:type="dcterms:W3CDTF">2019-12-18T08:08:00Z</dcterms:created>
  <dcterms:modified xsi:type="dcterms:W3CDTF">2019-12-18T08:08:00Z</dcterms:modified>
</cp:coreProperties>
</file>